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EA723" w14:textId="19E3D550" w:rsidR="005A3CEC" w:rsidRPr="00F24E74" w:rsidRDefault="00075D70" w:rsidP="00F24E74">
      <w:pPr>
        <w:shd w:val="clear" w:color="auto" w:fill="FFFFFF"/>
        <w:spacing w:line="276" w:lineRule="auto"/>
        <w:rPr>
          <w:rFonts w:ascii="Palatino Linotype" w:hAnsi="Palatino Linotype" w:cs="Arial"/>
          <w:b/>
          <w:sz w:val="22"/>
          <w:szCs w:val="22"/>
          <w:lang w:val="en-US"/>
        </w:rPr>
      </w:pPr>
      <w:r>
        <w:rPr>
          <w:noProof/>
        </w:rPr>
        <w:t xml:space="preserve">    </w:t>
      </w:r>
      <w:r w:rsidR="007D0B2D">
        <w:rPr>
          <w:rFonts w:ascii="Palatino Linotype" w:hAnsi="Palatino Linotype" w:cs="Arial"/>
          <w:b/>
          <w:sz w:val="22"/>
          <w:szCs w:val="22"/>
          <w:lang w:val="en-US"/>
        </w:rPr>
        <w:t xml:space="preserve">   </w:t>
      </w:r>
    </w:p>
    <w:p w14:paraId="5F6EBD42" w14:textId="51F96303" w:rsidR="00EF21F2" w:rsidRDefault="007D0B2D" w:rsidP="00EF21F2">
      <w:pPr>
        <w:pBdr>
          <w:bottom w:val="single" w:sz="8" w:space="4" w:color="4F81BD" w:themeColor="accent1"/>
        </w:pBdr>
        <w:spacing w:after="300"/>
        <w:contextualSpacing/>
        <w:jc w:val="center"/>
        <w:rPr>
          <w:rFonts w:ascii="Verdana" w:eastAsiaTheme="majorEastAsia" w:hAnsi="Verdana" w:cstheme="majorBidi"/>
          <w:b/>
          <w:spacing w:val="5"/>
          <w:kern w:val="28"/>
          <w:sz w:val="20"/>
          <w:szCs w:val="20"/>
          <w:lang w:val="en-GB" w:eastAsia="en-US"/>
        </w:rPr>
      </w:pPr>
      <w:r>
        <w:rPr>
          <w:rFonts w:ascii="Verdana" w:eastAsiaTheme="majorEastAsia" w:hAnsi="Verdana" w:cstheme="majorBidi"/>
          <w:b/>
          <w:spacing w:val="5"/>
          <w:kern w:val="28"/>
          <w:sz w:val="20"/>
          <w:szCs w:val="20"/>
          <w:lang w:val="en-GB" w:eastAsia="en-US"/>
        </w:rPr>
        <w:t xml:space="preserve">  </w:t>
      </w:r>
    </w:p>
    <w:p w14:paraId="3FF05B27" w14:textId="60264958" w:rsidR="00732656" w:rsidRDefault="00732656" w:rsidP="00EF21F2">
      <w:pPr>
        <w:pBdr>
          <w:bottom w:val="single" w:sz="8" w:space="4" w:color="4F81BD" w:themeColor="accent1"/>
        </w:pBdr>
        <w:spacing w:after="300"/>
        <w:contextualSpacing/>
        <w:jc w:val="center"/>
        <w:rPr>
          <w:rFonts w:ascii="Verdana" w:eastAsiaTheme="majorEastAsia" w:hAnsi="Verdana" w:cstheme="majorBidi"/>
          <w:b/>
          <w:spacing w:val="5"/>
          <w:kern w:val="28"/>
          <w:sz w:val="20"/>
          <w:szCs w:val="20"/>
          <w:lang w:val="en-GB" w:eastAsia="en-US"/>
        </w:rPr>
      </w:pPr>
    </w:p>
    <w:p w14:paraId="37D8A2BD" w14:textId="77777777" w:rsidR="00732656" w:rsidRDefault="00732656" w:rsidP="00EF21F2">
      <w:pPr>
        <w:pBdr>
          <w:bottom w:val="single" w:sz="8" w:space="4" w:color="4F81BD" w:themeColor="accent1"/>
        </w:pBdr>
        <w:spacing w:after="300"/>
        <w:contextualSpacing/>
        <w:jc w:val="center"/>
        <w:rPr>
          <w:rFonts w:ascii="Verdana" w:eastAsiaTheme="majorEastAsia" w:hAnsi="Verdana" w:cstheme="majorBidi"/>
          <w:b/>
          <w:spacing w:val="5"/>
          <w:kern w:val="28"/>
          <w:sz w:val="20"/>
          <w:szCs w:val="20"/>
          <w:lang w:val="en-GB" w:eastAsia="en-US"/>
        </w:rPr>
      </w:pPr>
    </w:p>
    <w:p w14:paraId="365F7B1F" w14:textId="77777777" w:rsidR="00EF21F2" w:rsidRPr="00EF21F2" w:rsidRDefault="00EF21F2" w:rsidP="00EF21F2">
      <w:pPr>
        <w:pBdr>
          <w:bottom w:val="single" w:sz="8" w:space="4" w:color="4F81BD" w:themeColor="accent1"/>
        </w:pBdr>
        <w:spacing w:after="300"/>
        <w:contextualSpacing/>
        <w:jc w:val="center"/>
        <w:rPr>
          <w:rFonts w:ascii="Verdana" w:eastAsiaTheme="majorEastAsia" w:hAnsi="Verdana" w:cstheme="majorBidi"/>
          <w:b/>
          <w:spacing w:val="5"/>
          <w:kern w:val="28"/>
          <w:sz w:val="20"/>
          <w:szCs w:val="20"/>
          <w:lang w:val="en-GB" w:eastAsia="en-US"/>
        </w:rPr>
      </w:pPr>
      <w:r w:rsidRPr="00EF21F2">
        <w:rPr>
          <w:rFonts w:ascii="Verdana" w:eastAsiaTheme="majorEastAsia" w:hAnsi="Verdana" w:cstheme="majorBidi"/>
          <w:b/>
          <w:spacing w:val="5"/>
          <w:kern w:val="28"/>
          <w:sz w:val="20"/>
          <w:szCs w:val="20"/>
          <w:lang w:val="en-GB" w:eastAsia="en-US"/>
        </w:rPr>
        <w:t>Activity Code 2.1.</w:t>
      </w:r>
      <w:r w:rsidR="00075D70">
        <w:rPr>
          <w:rFonts w:ascii="Verdana" w:eastAsiaTheme="majorEastAsia" w:hAnsi="Verdana" w:cstheme="majorBidi"/>
          <w:b/>
          <w:spacing w:val="5"/>
          <w:kern w:val="28"/>
          <w:sz w:val="20"/>
          <w:szCs w:val="20"/>
          <w:lang w:val="en-GB" w:eastAsia="en-US"/>
        </w:rPr>
        <w:t>2 / 2.1.3</w:t>
      </w:r>
    </w:p>
    <w:p w14:paraId="08032E8E" w14:textId="77777777" w:rsidR="00075D70" w:rsidRPr="00075D70" w:rsidRDefault="00EF21F2" w:rsidP="00EF21F2">
      <w:pPr>
        <w:pBdr>
          <w:bottom w:val="single" w:sz="8" w:space="4" w:color="4F81BD" w:themeColor="accent1"/>
        </w:pBdr>
        <w:spacing w:after="300"/>
        <w:contextualSpacing/>
        <w:jc w:val="center"/>
        <w:rPr>
          <w:rFonts w:ascii="Verdana" w:eastAsiaTheme="majorEastAsia" w:hAnsi="Verdana" w:cstheme="majorBidi"/>
          <w:color w:val="2F618F"/>
          <w:spacing w:val="5"/>
          <w:kern w:val="28"/>
          <w:sz w:val="32"/>
          <w:szCs w:val="52"/>
          <w:lang w:val="en-GB" w:eastAsia="en-US"/>
        </w:rPr>
      </w:pPr>
      <w:r w:rsidRPr="00075D70">
        <w:rPr>
          <w:rFonts w:ascii="Verdana" w:eastAsiaTheme="majorEastAsia" w:hAnsi="Verdana" w:cstheme="majorBidi"/>
          <w:color w:val="2F618F"/>
          <w:spacing w:val="5"/>
          <w:kern w:val="28"/>
          <w:sz w:val="32"/>
          <w:szCs w:val="36"/>
          <w:lang w:val="en-GB" w:eastAsia="en-US"/>
        </w:rPr>
        <w:t>2088_</w:t>
      </w:r>
      <w:r w:rsidR="00075D70" w:rsidRPr="00075D70">
        <w:rPr>
          <w:rFonts w:ascii="Verdana" w:eastAsiaTheme="majorEastAsia" w:hAnsi="Verdana" w:cstheme="majorBidi"/>
          <w:color w:val="2F618F"/>
          <w:spacing w:val="5"/>
          <w:kern w:val="28"/>
          <w:sz w:val="32"/>
          <w:szCs w:val="36"/>
          <w:lang w:val="en-GB" w:eastAsia="en-US"/>
        </w:rPr>
        <w:t>30</w:t>
      </w:r>
      <w:r w:rsidRPr="00075D70">
        <w:rPr>
          <w:rFonts w:ascii="Verdana" w:eastAsiaTheme="majorEastAsia" w:hAnsi="Verdana" w:cstheme="majorBidi"/>
          <w:color w:val="2F618F"/>
          <w:spacing w:val="5"/>
          <w:kern w:val="28"/>
          <w:sz w:val="32"/>
          <w:szCs w:val="36"/>
          <w:lang w:val="en-GB" w:eastAsia="en-US"/>
        </w:rPr>
        <w:t xml:space="preserve"> </w:t>
      </w:r>
      <w:r w:rsidR="00075D70" w:rsidRPr="00075D70">
        <w:rPr>
          <w:rFonts w:ascii="Verdana" w:eastAsiaTheme="majorEastAsia" w:hAnsi="Verdana" w:cstheme="majorBidi"/>
          <w:color w:val="2F618F"/>
          <w:spacing w:val="5"/>
          <w:kern w:val="28"/>
          <w:sz w:val="32"/>
          <w:szCs w:val="52"/>
          <w:lang w:val="en-GB" w:eastAsia="en-US"/>
        </w:rPr>
        <w:t>First Responder</w:t>
      </w:r>
      <w:r w:rsidRPr="00075D70">
        <w:rPr>
          <w:rFonts w:ascii="Verdana" w:eastAsiaTheme="majorEastAsia" w:hAnsi="Verdana" w:cstheme="majorBidi"/>
          <w:color w:val="2F618F"/>
          <w:spacing w:val="5"/>
          <w:kern w:val="28"/>
          <w:sz w:val="32"/>
          <w:szCs w:val="52"/>
          <w:lang w:val="en-GB" w:eastAsia="en-US"/>
        </w:rPr>
        <w:t xml:space="preserve"> Training </w:t>
      </w:r>
      <w:r w:rsidR="00075D70" w:rsidRPr="00075D70">
        <w:rPr>
          <w:rFonts w:ascii="Verdana" w:eastAsiaTheme="majorEastAsia" w:hAnsi="Verdana" w:cstheme="majorBidi"/>
          <w:color w:val="2F618F"/>
          <w:spacing w:val="5"/>
          <w:kern w:val="28"/>
          <w:sz w:val="32"/>
          <w:szCs w:val="52"/>
          <w:lang w:val="en-GB" w:eastAsia="en-US"/>
        </w:rPr>
        <w:t xml:space="preserve">for </w:t>
      </w:r>
      <w:r w:rsidR="00B35084">
        <w:rPr>
          <w:rFonts w:ascii="Verdana" w:eastAsiaTheme="majorEastAsia" w:hAnsi="Verdana" w:cstheme="majorBidi"/>
          <w:color w:val="2F618F"/>
          <w:spacing w:val="5"/>
          <w:kern w:val="28"/>
          <w:sz w:val="32"/>
          <w:szCs w:val="52"/>
          <w:lang w:val="en-GB" w:eastAsia="en-US"/>
        </w:rPr>
        <w:t>I</w:t>
      </w:r>
      <w:r w:rsidR="00075D70" w:rsidRPr="00075D70">
        <w:rPr>
          <w:rFonts w:ascii="Verdana" w:eastAsiaTheme="majorEastAsia" w:hAnsi="Verdana" w:cstheme="majorBidi"/>
          <w:color w:val="2F618F"/>
          <w:spacing w:val="5"/>
          <w:kern w:val="28"/>
          <w:sz w:val="32"/>
          <w:szCs w:val="52"/>
          <w:lang w:val="en-GB" w:eastAsia="en-US"/>
        </w:rPr>
        <w:t>nvestigators</w:t>
      </w:r>
    </w:p>
    <w:p w14:paraId="7D1DAC56" w14:textId="77777777" w:rsidR="00EF21F2" w:rsidRPr="00075D70" w:rsidRDefault="00075D70" w:rsidP="00EF21F2">
      <w:pPr>
        <w:pBdr>
          <w:bottom w:val="single" w:sz="8" w:space="4" w:color="4F81BD" w:themeColor="accent1"/>
        </w:pBdr>
        <w:spacing w:after="300"/>
        <w:contextualSpacing/>
        <w:jc w:val="center"/>
        <w:rPr>
          <w:rFonts w:ascii="Verdana" w:eastAsiaTheme="majorEastAsia" w:hAnsi="Verdana" w:cstheme="majorBidi"/>
          <w:color w:val="2F618F"/>
          <w:spacing w:val="5"/>
          <w:kern w:val="28"/>
          <w:sz w:val="32"/>
          <w:szCs w:val="36"/>
          <w:lang w:val="en-GB" w:eastAsia="en-US"/>
        </w:rPr>
      </w:pPr>
      <w:r w:rsidRPr="00075D70">
        <w:rPr>
          <w:rFonts w:ascii="Verdana" w:eastAsiaTheme="majorEastAsia" w:hAnsi="Verdana" w:cstheme="majorBidi"/>
          <w:color w:val="2F618F"/>
          <w:spacing w:val="5"/>
          <w:kern w:val="28"/>
          <w:sz w:val="32"/>
          <w:szCs w:val="52"/>
          <w:lang w:val="en-GB" w:eastAsia="en-US"/>
        </w:rPr>
        <w:t>on Cybercrime and Electronic Evidence</w:t>
      </w:r>
    </w:p>
    <w:p w14:paraId="76696CA1" w14:textId="77777777" w:rsidR="00075D70" w:rsidRPr="00075D70" w:rsidRDefault="00075D70" w:rsidP="00EF21F2">
      <w:pPr>
        <w:numPr>
          <w:ilvl w:val="1"/>
          <w:numId w:val="0"/>
        </w:numPr>
        <w:spacing w:after="120"/>
        <w:jc w:val="center"/>
        <w:rPr>
          <w:rFonts w:ascii="Verdana" w:eastAsiaTheme="majorEastAsia" w:hAnsi="Verdana" w:cstheme="majorBidi"/>
          <w:b/>
          <w:iCs/>
          <w:color w:val="2F618F"/>
          <w:spacing w:val="15"/>
          <w:sz w:val="8"/>
          <w:lang w:val="en-GB" w:eastAsia="en-US"/>
        </w:rPr>
      </w:pPr>
    </w:p>
    <w:p w14:paraId="45795366" w14:textId="77777777" w:rsidR="00EF21F2" w:rsidRPr="00075D70" w:rsidRDefault="00075D70" w:rsidP="00075D70">
      <w:pPr>
        <w:numPr>
          <w:ilvl w:val="1"/>
          <w:numId w:val="0"/>
        </w:numPr>
        <w:jc w:val="center"/>
        <w:rPr>
          <w:rFonts w:ascii="Verdana" w:eastAsiaTheme="majorEastAsia" w:hAnsi="Verdana" w:cstheme="majorBidi"/>
          <w:b/>
          <w:iCs/>
          <w:color w:val="2F618F"/>
          <w:spacing w:val="15"/>
          <w:sz w:val="22"/>
          <w:lang w:val="en-GB" w:eastAsia="en-US"/>
        </w:rPr>
      </w:pPr>
      <w:r w:rsidRPr="00075D70">
        <w:rPr>
          <w:rFonts w:ascii="Verdana" w:eastAsiaTheme="majorEastAsia" w:hAnsi="Verdana" w:cstheme="majorBidi"/>
          <w:b/>
          <w:iCs/>
          <w:color w:val="2F618F"/>
          <w:spacing w:val="15"/>
          <w:sz w:val="22"/>
          <w:lang w:val="en-GB" w:eastAsia="en-US"/>
        </w:rPr>
        <w:t>3</w:t>
      </w:r>
      <w:r w:rsidR="00EF21F2" w:rsidRPr="00075D70">
        <w:rPr>
          <w:rFonts w:ascii="Verdana" w:eastAsiaTheme="majorEastAsia" w:hAnsi="Verdana" w:cstheme="majorBidi"/>
          <w:b/>
          <w:iCs/>
          <w:color w:val="2F618F"/>
          <w:spacing w:val="15"/>
          <w:sz w:val="22"/>
          <w:lang w:val="en-GB" w:eastAsia="en-US"/>
        </w:rPr>
        <w:t>-</w:t>
      </w:r>
      <w:r w:rsidR="004E2183" w:rsidRPr="00075D70">
        <w:rPr>
          <w:rFonts w:ascii="Verdana" w:eastAsiaTheme="majorEastAsia" w:hAnsi="Verdana" w:cstheme="majorBidi"/>
          <w:b/>
          <w:iCs/>
          <w:color w:val="2F618F"/>
          <w:spacing w:val="15"/>
          <w:sz w:val="22"/>
          <w:lang w:val="en-GB" w:eastAsia="en-US"/>
        </w:rPr>
        <w:t>7</w:t>
      </w:r>
      <w:r w:rsidR="00EF21F2" w:rsidRPr="00075D70">
        <w:rPr>
          <w:rFonts w:ascii="Verdana" w:eastAsiaTheme="majorEastAsia" w:hAnsi="Verdana" w:cstheme="majorBidi"/>
          <w:b/>
          <w:iCs/>
          <w:color w:val="2F618F"/>
          <w:spacing w:val="15"/>
          <w:sz w:val="22"/>
          <w:lang w:val="en-GB" w:eastAsia="en-US"/>
        </w:rPr>
        <w:t xml:space="preserve"> </w:t>
      </w:r>
      <w:r w:rsidR="004E2183" w:rsidRPr="00075D70">
        <w:rPr>
          <w:rFonts w:ascii="Verdana" w:eastAsiaTheme="majorEastAsia" w:hAnsi="Verdana" w:cstheme="majorBidi"/>
          <w:b/>
          <w:iCs/>
          <w:color w:val="2F618F"/>
          <w:spacing w:val="15"/>
          <w:sz w:val="22"/>
          <w:lang w:val="en-GB" w:eastAsia="en-US"/>
        </w:rPr>
        <w:t>Febr</w:t>
      </w:r>
      <w:r w:rsidR="00FB4AA7" w:rsidRPr="00075D70">
        <w:rPr>
          <w:rFonts w:ascii="Verdana" w:eastAsiaTheme="majorEastAsia" w:hAnsi="Verdana" w:cstheme="majorBidi"/>
          <w:b/>
          <w:iCs/>
          <w:color w:val="2F618F"/>
          <w:spacing w:val="15"/>
          <w:sz w:val="22"/>
          <w:lang w:val="en-GB" w:eastAsia="en-US"/>
        </w:rPr>
        <w:t>uary</w:t>
      </w:r>
      <w:r w:rsidR="00EF21F2" w:rsidRPr="00075D70">
        <w:rPr>
          <w:rFonts w:ascii="Verdana" w:eastAsiaTheme="majorEastAsia" w:hAnsi="Verdana" w:cstheme="majorBidi"/>
          <w:b/>
          <w:iCs/>
          <w:color w:val="2F618F"/>
          <w:spacing w:val="15"/>
          <w:sz w:val="22"/>
          <w:lang w:val="en-GB" w:eastAsia="en-US"/>
        </w:rPr>
        <w:t xml:space="preserve"> 20</w:t>
      </w:r>
      <w:r w:rsidR="001A1220" w:rsidRPr="00075D70">
        <w:rPr>
          <w:rFonts w:ascii="Verdana" w:eastAsiaTheme="majorEastAsia" w:hAnsi="Verdana" w:cstheme="majorBidi"/>
          <w:b/>
          <w:iCs/>
          <w:color w:val="2F618F"/>
          <w:spacing w:val="15"/>
          <w:sz w:val="22"/>
          <w:lang w:val="en-GB" w:eastAsia="en-US"/>
        </w:rPr>
        <w:t>20</w:t>
      </w:r>
      <w:r w:rsidR="00EF21F2" w:rsidRPr="00075D70">
        <w:rPr>
          <w:rFonts w:ascii="Verdana" w:eastAsiaTheme="majorEastAsia" w:hAnsi="Verdana" w:cstheme="majorBidi"/>
          <w:b/>
          <w:iCs/>
          <w:color w:val="2F618F"/>
          <w:spacing w:val="15"/>
          <w:sz w:val="22"/>
          <w:lang w:val="en-GB" w:eastAsia="en-US"/>
        </w:rPr>
        <w:t xml:space="preserve">, </w:t>
      </w:r>
      <w:r w:rsidRPr="00075D70">
        <w:rPr>
          <w:rFonts w:ascii="Verdana" w:eastAsiaTheme="majorEastAsia" w:hAnsi="Verdana" w:cstheme="majorBidi"/>
          <w:b/>
          <w:iCs/>
          <w:color w:val="2F618F"/>
          <w:spacing w:val="15"/>
          <w:sz w:val="22"/>
          <w:lang w:val="en-GB" w:eastAsia="en-US"/>
        </w:rPr>
        <w:t>Batumi</w:t>
      </w:r>
      <w:r w:rsidR="00EF21F2" w:rsidRPr="00075D70">
        <w:rPr>
          <w:rFonts w:ascii="Verdana" w:eastAsiaTheme="majorEastAsia" w:hAnsi="Verdana" w:cstheme="majorBidi"/>
          <w:b/>
          <w:iCs/>
          <w:color w:val="2F618F"/>
          <w:spacing w:val="15"/>
          <w:sz w:val="22"/>
          <w:lang w:val="en-GB" w:eastAsia="en-US"/>
        </w:rPr>
        <w:t xml:space="preserve">, </w:t>
      </w:r>
      <w:r w:rsidRPr="00075D70">
        <w:rPr>
          <w:rFonts w:ascii="Verdana" w:eastAsiaTheme="majorEastAsia" w:hAnsi="Verdana" w:cstheme="majorBidi"/>
          <w:b/>
          <w:iCs/>
          <w:color w:val="2F618F"/>
          <w:spacing w:val="15"/>
          <w:sz w:val="22"/>
          <w:lang w:val="en-GB" w:eastAsia="en-US"/>
        </w:rPr>
        <w:t>Georgia</w:t>
      </w:r>
    </w:p>
    <w:p w14:paraId="5A815415" w14:textId="77777777" w:rsidR="00EF21F2" w:rsidRPr="00075D70" w:rsidRDefault="00EF21F2" w:rsidP="00075D70">
      <w:pPr>
        <w:numPr>
          <w:ilvl w:val="1"/>
          <w:numId w:val="0"/>
        </w:numPr>
        <w:jc w:val="center"/>
        <w:rPr>
          <w:rFonts w:ascii="Verdana" w:eastAsiaTheme="majorEastAsia" w:hAnsi="Verdana" w:cstheme="majorBidi"/>
          <w:b/>
          <w:iCs/>
          <w:color w:val="2F618F"/>
          <w:spacing w:val="15"/>
          <w:sz w:val="22"/>
          <w:lang w:val="en-GB" w:eastAsia="en-US"/>
        </w:rPr>
      </w:pPr>
      <w:r w:rsidRPr="00075D70">
        <w:rPr>
          <w:rFonts w:ascii="Verdana" w:eastAsiaTheme="majorEastAsia" w:hAnsi="Verdana" w:cstheme="majorBidi"/>
          <w:b/>
          <w:iCs/>
          <w:color w:val="2F618F"/>
          <w:spacing w:val="15"/>
          <w:sz w:val="22"/>
          <w:lang w:val="en-GB" w:eastAsia="en-US"/>
        </w:rPr>
        <w:t xml:space="preserve">Organized by </w:t>
      </w:r>
      <w:r w:rsidR="00075D70" w:rsidRPr="00075D70">
        <w:rPr>
          <w:rFonts w:ascii="Verdana" w:eastAsiaTheme="majorEastAsia" w:hAnsi="Verdana" w:cstheme="majorBidi"/>
          <w:b/>
          <w:iCs/>
          <w:color w:val="2F618F"/>
          <w:spacing w:val="15"/>
          <w:sz w:val="22"/>
          <w:lang w:val="en-GB" w:eastAsia="en-US"/>
        </w:rPr>
        <w:t>LEPL</w:t>
      </w:r>
      <w:r w:rsidRPr="00075D70">
        <w:rPr>
          <w:rFonts w:ascii="Verdana" w:eastAsiaTheme="majorEastAsia" w:hAnsi="Verdana" w:cstheme="majorBidi"/>
          <w:b/>
          <w:iCs/>
          <w:color w:val="2F618F"/>
          <w:spacing w:val="15"/>
          <w:sz w:val="22"/>
          <w:lang w:val="en-GB" w:eastAsia="en-US"/>
        </w:rPr>
        <w:t xml:space="preserve"> </w:t>
      </w:r>
      <w:r w:rsidR="00075D70" w:rsidRPr="00075D70">
        <w:rPr>
          <w:rFonts w:ascii="Verdana" w:eastAsiaTheme="majorEastAsia" w:hAnsi="Verdana" w:cstheme="majorBidi"/>
          <w:b/>
          <w:iCs/>
          <w:color w:val="2F618F"/>
          <w:spacing w:val="15"/>
          <w:sz w:val="22"/>
          <w:lang w:val="en-GB" w:eastAsia="en-US"/>
        </w:rPr>
        <w:t>Academy of the Ministry of Finance of Georgia</w:t>
      </w:r>
      <w:r w:rsidRPr="00075D70">
        <w:rPr>
          <w:rFonts w:ascii="Verdana" w:eastAsiaTheme="majorEastAsia" w:hAnsi="Verdana" w:cstheme="majorBidi"/>
          <w:b/>
          <w:iCs/>
          <w:color w:val="2F618F"/>
          <w:spacing w:val="15"/>
          <w:sz w:val="22"/>
          <w:lang w:val="en-GB" w:eastAsia="en-US"/>
        </w:rPr>
        <w:t xml:space="preserve"> </w:t>
      </w:r>
    </w:p>
    <w:p w14:paraId="2E839647" w14:textId="77777777" w:rsidR="00EF21F2" w:rsidRPr="00075D70" w:rsidRDefault="00EF21F2" w:rsidP="00075D70">
      <w:pPr>
        <w:numPr>
          <w:ilvl w:val="1"/>
          <w:numId w:val="0"/>
        </w:numPr>
        <w:jc w:val="center"/>
        <w:rPr>
          <w:rFonts w:ascii="Verdana" w:eastAsiaTheme="majorEastAsia" w:hAnsi="Verdana" w:cstheme="majorBidi"/>
          <w:b/>
          <w:iCs/>
          <w:color w:val="2F618F"/>
          <w:spacing w:val="15"/>
          <w:sz w:val="22"/>
          <w:lang w:val="en-GB" w:eastAsia="en-US"/>
        </w:rPr>
      </w:pPr>
      <w:r w:rsidRPr="00075D70">
        <w:rPr>
          <w:rFonts w:ascii="Verdana" w:eastAsiaTheme="majorEastAsia" w:hAnsi="Verdana" w:cstheme="majorBidi"/>
          <w:b/>
          <w:iCs/>
          <w:color w:val="2F618F"/>
          <w:spacing w:val="15"/>
          <w:sz w:val="22"/>
          <w:lang w:val="en-GB" w:eastAsia="en-US"/>
        </w:rPr>
        <w:t>with support of the CyberEast project</w:t>
      </w:r>
    </w:p>
    <w:p w14:paraId="0928E3CF" w14:textId="77777777" w:rsidR="00EF21F2" w:rsidRPr="00EF21F2" w:rsidRDefault="00EF21F2" w:rsidP="00EF21F2">
      <w:pPr>
        <w:spacing w:before="360" w:after="240" w:line="276" w:lineRule="auto"/>
        <w:jc w:val="center"/>
        <w:rPr>
          <w:rFonts w:ascii="Verdana" w:eastAsiaTheme="minorHAnsi" w:hAnsi="Verdana" w:cstheme="minorBidi"/>
          <w:b/>
          <w:color w:val="2F618F"/>
          <w:sz w:val="28"/>
          <w:szCs w:val="22"/>
          <w:lang w:val="en-GB" w:eastAsia="en-US"/>
        </w:rPr>
      </w:pPr>
      <w:r w:rsidRPr="00EF21F2">
        <w:rPr>
          <w:rFonts w:ascii="Verdana" w:eastAsiaTheme="minorHAnsi" w:hAnsi="Verdana" w:cstheme="minorBidi"/>
          <w:b/>
          <w:color w:val="2F618F"/>
          <w:sz w:val="28"/>
          <w:szCs w:val="22"/>
          <w:lang w:val="en-GB" w:eastAsia="en-US"/>
        </w:rPr>
        <w:t>Outline</w:t>
      </w:r>
    </w:p>
    <w:p w14:paraId="00B830A7" w14:textId="77777777" w:rsidR="00EF21F2" w:rsidRPr="00EF21F2" w:rsidRDefault="00EF21F2" w:rsidP="00EF21F2">
      <w:pPr>
        <w:keepNext/>
        <w:keepLines/>
        <w:spacing w:before="360" w:after="120" w:line="276" w:lineRule="auto"/>
        <w:jc w:val="both"/>
        <w:outlineLvl w:val="0"/>
        <w:rPr>
          <w:rFonts w:ascii="Verdana" w:eastAsiaTheme="majorEastAsia" w:hAnsi="Verdana" w:cstheme="majorBidi"/>
          <w:b/>
          <w:bCs/>
          <w:color w:val="2F618F"/>
          <w:szCs w:val="28"/>
          <w:lang w:val="en-GB" w:eastAsia="en-US"/>
        </w:rPr>
      </w:pPr>
      <w:r w:rsidRPr="00EF21F2">
        <w:rPr>
          <w:rFonts w:ascii="Verdana" w:eastAsiaTheme="majorEastAsia" w:hAnsi="Verdana" w:cstheme="majorBidi"/>
          <w:b/>
          <w:bCs/>
          <w:color w:val="2F618F"/>
          <w:szCs w:val="28"/>
          <w:lang w:val="en-GB" w:eastAsia="en-US"/>
        </w:rPr>
        <w:t>Background and justification</w:t>
      </w:r>
    </w:p>
    <w:p w14:paraId="352F2FD7" w14:textId="77777777" w:rsidR="00EF21F2" w:rsidRPr="002A6258" w:rsidRDefault="00EF21F2" w:rsidP="00EF21F2">
      <w:pPr>
        <w:spacing w:after="200" w:line="276" w:lineRule="auto"/>
        <w:jc w:val="both"/>
        <w:rPr>
          <w:rFonts w:ascii="Verdana" w:eastAsiaTheme="minorHAnsi" w:hAnsi="Verdana" w:cstheme="minorBidi"/>
          <w:sz w:val="18"/>
          <w:szCs w:val="18"/>
          <w:lang w:val="en-GB" w:eastAsia="en-US"/>
        </w:rPr>
      </w:pPr>
      <w:r w:rsidRPr="002A6258">
        <w:rPr>
          <w:rFonts w:ascii="Verdana" w:eastAsiaTheme="minorHAnsi" w:hAnsi="Verdana" w:cstheme="minorBidi"/>
          <w:sz w:val="18"/>
          <w:szCs w:val="18"/>
          <w:lang w:val="en-GB" w:eastAsia="en-US"/>
        </w:rPr>
        <w:t>The growth in the use and development of information and communications technologies (ICTs) go hand in hand with the rise of crimes committed against or through the use of computer systems. The Council of Europe approach to protect societies worldwide in the cyberspace is based on the development and implementation of the Budapest Convention on Cybercrime, through a suitable programme of capacity building for criminal justice authorities.</w:t>
      </w:r>
    </w:p>
    <w:p w14:paraId="6E4B1548" w14:textId="66B44469" w:rsidR="008E2F72" w:rsidRPr="002A6258" w:rsidRDefault="008E2F72" w:rsidP="00EF21F2">
      <w:pPr>
        <w:spacing w:after="200" w:line="276" w:lineRule="auto"/>
        <w:jc w:val="both"/>
        <w:rPr>
          <w:rFonts w:ascii="Verdana" w:eastAsiaTheme="minorHAnsi" w:hAnsi="Verdana" w:cstheme="minorBidi"/>
          <w:sz w:val="18"/>
          <w:szCs w:val="18"/>
          <w:lang w:val="en-GB" w:eastAsia="en-US"/>
        </w:rPr>
      </w:pPr>
      <w:r w:rsidRPr="002A6258">
        <w:rPr>
          <w:rFonts w:ascii="Verdana" w:eastAsiaTheme="minorHAnsi" w:hAnsi="Verdana" w:cstheme="minorBidi"/>
          <w:sz w:val="18"/>
          <w:szCs w:val="18"/>
          <w:lang w:val="en-GB" w:eastAsia="en-US"/>
        </w:rPr>
        <w:t xml:space="preserve">Development and introduction of First Responder/Basic Investigations training on cybercrime and electronic evidence remains one of the most pressing and wide-ranging necessities in all of the Eastern </w:t>
      </w:r>
      <w:r w:rsidR="002B0F7F">
        <w:rPr>
          <w:rFonts w:ascii="Verdana" w:eastAsiaTheme="minorHAnsi" w:hAnsi="Verdana" w:cstheme="minorBidi"/>
          <w:sz w:val="18"/>
          <w:szCs w:val="18"/>
          <w:lang w:val="en-GB" w:eastAsia="en-US"/>
        </w:rPr>
        <w:t>P</w:t>
      </w:r>
      <w:r w:rsidRPr="002A6258">
        <w:rPr>
          <w:rFonts w:ascii="Verdana" w:eastAsiaTheme="minorHAnsi" w:hAnsi="Verdana" w:cstheme="minorBidi"/>
          <w:sz w:val="18"/>
          <w:szCs w:val="18"/>
          <w:lang w:val="en-GB" w:eastAsia="en-US"/>
        </w:rPr>
        <w:t>artnership countries, as virtually all investigators in all investigative units, including financial investigators, should be eventually introduced to the topics of cybercrime and electronic evidence. The involvement of the Police/investigative</w:t>
      </w:r>
      <w:r w:rsidR="002B0F7F">
        <w:rPr>
          <w:rFonts w:ascii="Verdana" w:eastAsiaTheme="minorHAnsi" w:hAnsi="Verdana" w:cstheme="minorBidi"/>
          <w:sz w:val="18"/>
          <w:szCs w:val="18"/>
          <w:lang w:val="en-GB" w:eastAsia="en-US"/>
        </w:rPr>
        <w:t xml:space="preserve"> </w:t>
      </w:r>
      <w:r w:rsidRPr="002A6258">
        <w:rPr>
          <w:rFonts w:ascii="Verdana" w:eastAsiaTheme="minorHAnsi" w:hAnsi="Verdana" w:cstheme="minorBidi"/>
          <w:sz w:val="18"/>
          <w:szCs w:val="18"/>
          <w:lang w:val="en-GB" w:eastAsia="en-US"/>
        </w:rPr>
        <w:t>Academies in this process is crucial to ensure that the training process is sustainable.</w:t>
      </w:r>
    </w:p>
    <w:p w14:paraId="517C701E" w14:textId="77777777" w:rsidR="008E2F72" w:rsidRPr="002A6258" w:rsidRDefault="008E2F72" w:rsidP="00EF21F2">
      <w:pPr>
        <w:spacing w:after="200" w:line="276" w:lineRule="auto"/>
        <w:jc w:val="both"/>
        <w:rPr>
          <w:rFonts w:ascii="Verdana" w:eastAsiaTheme="minorHAnsi" w:hAnsi="Verdana" w:cstheme="minorBidi"/>
          <w:sz w:val="18"/>
          <w:szCs w:val="18"/>
          <w:lang w:val="en-GB" w:eastAsia="en-US"/>
        </w:rPr>
      </w:pPr>
      <w:r w:rsidRPr="002A6258">
        <w:rPr>
          <w:rFonts w:ascii="Verdana" w:eastAsiaTheme="minorHAnsi" w:hAnsi="Verdana" w:cstheme="minorBidi"/>
          <w:sz w:val="18"/>
          <w:szCs w:val="18"/>
          <w:lang w:val="en-GB" w:eastAsia="en-US"/>
        </w:rPr>
        <w:t>Th</w:t>
      </w:r>
      <w:r w:rsidR="002C353E" w:rsidRPr="002A6258">
        <w:rPr>
          <w:rFonts w:ascii="Verdana" w:eastAsiaTheme="minorHAnsi" w:hAnsi="Verdana" w:cstheme="minorBidi"/>
          <w:sz w:val="18"/>
          <w:szCs w:val="18"/>
          <w:lang w:val="en-GB" w:eastAsia="en-US"/>
        </w:rPr>
        <w:t>e</w:t>
      </w:r>
      <w:r w:rsidRPr="002A6258">
        <w:rPr>
          <w:rFonts w:ascii="Verdana" w:eastAsiaTheme="minorHAnsi" w:hAnsi="Verdana" w:cstheme="minorBidi"/>
          <w:sz w:val="18"/>
          <w:szCs w:val="18"/>
          <w:lang w:val="en-GB" w:eastAsia="en-US"/>
        </w:rPr>
        <w:t xml:space="preserve"> courses offered for investigators by the Council of Europe are based on the training materials developed by the Council of Europe and are designed to provide an introductory level of knowledge on cybercrime, electronic evidence and search, seizure and confiscation of online crime proceeds. The course</w:t>
      </w:r>
      <w:r w:rsidR="002C353E" w:rsidRPr="002A6258">
        <w:rPr>
          <w:rFonts w:ascii="Verdana" w:eastAsiaTheme="minorHAnsi" w:hAnsi="Verdana" w:cstheme="minorBidi"/>
          <w:sz w:val="18"/>
          <w:szCs w:val="18"/>
          <w:lang w:val="en-GB" w:eastAsia="en-US"/>
        </w:rPr>
        <w:t>s</w:t>
      </w:r>
      <w:r w:rsidRPr="002A6258">
        <w:rPr>
          <w:rFonts w:ascii="Verdana" w:eastAsiaTheme="minorHAnsi" w:hAnsi="Verdana" w:cstheme="minorBidi"/>
          <w:sz w:val="18"/>
          <w:szCs w:val="18"/>
          <w:lang w:val="en-GB" w:eastAsia="en-US"/>
        </w:rPr>
        <w:t xml:space="preserve"> </w:t>
      </w:r>
      <w:r w:rsidR="002C353E" w:rsidRPr="002A6258">
        <w:rPr>
          <w:rFonts w:ascii="Verdana" w:eastAsiaTheme="minorHAnsi" w:hAnsi="Verdana" w:cstheme="minorBidi"/>
          <w:sz w:val="18"/>
          <w:szCs w:val="18"/>
          <w:lang w:val="en-GB" w:eastAsia="en-US"/>
        </w:rPr>
        <w:t>encompass</w:t>
      </w:r>
      <w:r w:rsidRPr="002A6258">
        <w:rPr>
          <w:rFonts w:ascii="Verdana" w:eastAsiaTheme="minorHAnsi" w:hAnsi="Verdana" w:cstheme="minorBidi"/>
          <w:sz w:val="18"/>
          <w:szCs w:val="18"/>
          <w:lang w:val="en-GB" w:eastAsia="en-US"/>
        </w:rPr>
        <w:t xml:space="preserve"> legal as well as practical information about the subject matters and concentrate on how these issues impact on the day-to-day work of law enforcement officers.</w:t>
      </w:r>
    </w:p>
    <w:p w14:paraId="2DE601FF" w14:textId="75687FCE" w:rsidR="00EF21F2" w:rsidRPr="002A6258" w:rsidRDefault="00EF21F2" w:rsidP="00B35084">
      <w:pPr>
        <w:spacing w:after="200" w:line="276" w:lineRule="auto"/>
        <w:jc w:val="both"/>
        <w:rPr>
          <w:rFonts w:ascii="Verdana" w:eastAsiaTheme="minorHAnsi" w:hAnsi="Verdana" w:cstheme="minorBidi"/>
          <w:sz w:val="18"/>
          <w:szCs w:val="18"/>
          <w:lang w:val="en-GB" w:eastAsia="en-US"/>
        </w:rPr>
      </w:pPr>
      <w:r w:rsidRPr="002A6258">
        <w:rPr>
          <w:rFonts w:ascii="Verdana" w:eastAsiaTheme="minorHAnsi" w:hAnsi="Verdana" w:cstheme="minorBidi"/>
          <w:bCs/>
          <w:sz w:val="18"/>
          <w:szCs w:val="18"/>
          <w:lang w:val="en-GB" w:eastAsia="en-US"/>
        </w:rPr>
        <w:t xml:space="preserve">In this context, the </w:t>
      </w:r>
      <w:hyperlink r:id="rId7" w:history="1">
        <w:r w:rsidRPr="002A6258">
          <w:rPr>
            <w:rFonts w:ascii="Verdana" w:eastAsiaTheme="minorHAnsi" w:hAnsi="Verdana" w:cstheme="minorBidi"/>
            <w:bCs/>
            <w:color w:val="0000FF" w:themeColor="hyperlink"/>
            <w:sz w:val="18"/>
            <w:szCs w:val="18"/>
            <w:u w:val="single"/>
            <w:lang w:val="en-GB" w:eastAsia="en-US"/>
          </w:rPr>
          <w:t>CyberEast project</w:t>
        </w:r>
      </w:hyperlink>
      <w:r w:rsidRPr="002A6258">
        <w:rPr>
          <w:rFonts w:ascii="Verdana" w:eastAsiaTheme="minorHAnsi" w:hAnsi="Verdana" w:cstheme="minorBidi"/>
          <w:bCs/>
          <w:sz w:val="18"/>
          <w:szCs w:val="18"/>
          <w:lang w:val="en-GB" w:eastAsia="en-US"/>
        </w:rPr>
        <w:t xml:space="preserve">, as a continuation of the </w:t>
      </w:r>
      <w:proofErr w:type="spellStart"/>
      <w:r w:rsidRPr="002A6258">
        <w:rPr>
          <w:rFonts w:ascii="Verdana" w:eastAsiaTheme="minorHAnsi" w:hAnsi="Verdana" w:cstheme="minorBidi"/>
          <w:sz w:val="18"/>
          <w:szCs w:val="18"/>
          <w:lang w:val="en-GB" w:eastAsia="en-US"/>
        </w:rPr>
        <w:t>Cybercrime@EAP</w:t>
      </w:r>
      <w:proofErr w:type="spellEnd"/>
      <w:r w:rsidRPr="002A6258">
        <w:rPr>
          <w:rFonts w:ascii="Verdana" w:eastAsiaTheme="minorHAnsi" w:hAnsi="Verdana" w:cstheme="minorBidi"/>
          <w:sz w:val="18"/>
          <w:szCs w:val="18"/>
          <w:lang w:val="en-GB" w:eastAsia="en-US"/>
        </w:rPr>
        <w:t xml:space="preserve"> projects</w:t>
      </w:r>
      <w:r w:rsidRPr="002A6258">
        <w:rPr>
          <w:rFonts w:ascii="Verdana" w:eastAsiaTheme="minorHAnsi" w:hAnsi="Verdana" w:cstheme="minorBidi"/>
          <w:bCs/>
          <w:sz w:val="18"/>
          <w:szCs w:val="18"/>
          <w:lang w:val="en-GB" w:eastAsia="en-US"/>
        </w:rPr>
        <w:t xml:space="preserve">, </w:t>
      </w:r>
      <w:r w:rsidRPr="002A6258">
        <w:rPr>
          <w:rFonts w:ascii="Verdana" w:eastAsiaTheme="minorHAnsi" w:hAnsi="Verdana" w:cstheme="minorBidi"/>
          <w:sz w:val="18"/>
          <w:szCs w:val="18"/>
          <w:lang w:val="en-GB" w:eastAsia="en-US"/>
        </w:rPr>
        <w:t xml:space="preserve">aims to support the countries of the Eastern Partnership in strengthening skills of </w:t>
      </w:r>
      <w:r w:rsidR="00B35084" w:rsidRPr="002A6258">
        <w:rPr>
          <w:rFonts w:ascii="Verdana" w:eastAsiaTheme="minorHAnsi" w:hAnsi="Verdana" w:cstheme="minorBidi"/>
          <w:sz w:val="18"/>
          <w:szCs w:val="18"/>
          <w:lang w:val="en-GB" w:eastAsia="en-US"/>
        </w:rPr>
        <w:t>law enforcement officers</w:t>
      </w:r>
      <w:r w:rsidRPr="002A6258">
        <w:rPr>
          <w:rFonts w:ascii="Verdana" w:eastAsiaTheme="minorHAnsi" w:hAnsi="Verdana" w:cstheme="minorBidi"/>
          <w:sz w:val="18"/>
          <w:szCs w:val="18"/>
          <w:lang w:val="en-GB" w:eastAsia="en-US"/>
        </w:rPr>
        <w:t xml:space="preserve"> </w:t>
      </w:r>
      <w:r w:rsidR="00B35084" w:rsidRPr="002A6258">
        <w:rPr>
          <w:rFonts w:ascii="Verdana" w:eastAsiaTheme="minorHAnsi" w:hAnsi="Verdana" w:cstheme="minorBidi"/>
          <w:sz w:val="18"/>
          <w:szCs w:val="18"/>
          <w:lang w:val="en-GB" w:eastAsia="en-US"/>
        </w:rPr>
        <w:t xml:space="preserve">potentially </w:t>
      </w:r>
      <w:r w:rsidRPr="002A6258">
        <w:rPr>
          <w:rFonts w:ascii="Verdana" w:eastAsiaTheme="minorHAnsi" w:hAnsi="Verdana" w:cstheme="minorBidi"/>
          <w:sz w:val="18"/>
          <w:szCs w:val="18"/>
          <w:lang w:val="en-GB" w:eastAsia="en-US"/>
        </w:rPr>
        <w:t>dealing with cybercrime and electronic evidence</w:t>
      </w:r>
      <w:r w:rsidR="00B35084" w:rsidRPr="002A6258">
        <w:rPr>
          <w:rFonts w:ascii="Verdana" w:eastAsiaTheme="minorHAnsi" w:hAnsi="Verdana" w:cstheme="minorBidi"/>
          <w:sz w:val="18"/>
          <w:szCs w:val="18"/>
          <w:lang w:val="en-GB" w:eastAsia="en-US"/>
        </w:rPr>
        <w:t xml:space="preserve"> in their day-to-day work</w:t>
      </w:r>
      <w:r w:rsidRPr="002A6258">
        <w:rPr>
          <w:rFonts w:ascii="Verdana" w:eastAsiaTheme="minorHAnsi" w:hAnsi="Verdana" w:cstheme="minorBidi"/>
          <w:sz w:val="18"/>
          <w:szCs w:val="18"/>
          <w:lang w:val="en-GB" w:eastAsia="en-US"/>
        </w:rPr>
        <w:t xml:space="preserve">. The </w:t>
      </w:r>
      <w:r w:rsidR="00B35084" w:rsidRPr="002A6258">
        <w:rPr>
          <w:rFonts w:ascii="Verdana" w:eastAsiaTheme="minorHAnsi" w:hAnsi="Verdana" w:cstheme="minorBidi"/>
          <w:sz w:val="18"/>
          <w:szCs w:val="18"/>
          <w:lang w:val="en-GB" w:eastAsia="en-US"/>
        </w:rPr>
        <w:t>First Responder Training for Investigators on Cybercrime and Electronic Evidence</w:t>
      </w:r>
      <w:r w:rsidR="002A6258">
        <w:rPr>
          <w:rFonts w:ascii="Verdana" w:eastAsiaTheme="minorHAnsi" w:hAnsi="Verdana" w:cstheme="minorBidi"/>
          <w:sz w:val="18"/>
          <w:szCs w:val="18"/>
          <w:lang w:val="en-GB" w:eastAsia="en-US"/>
        </w:rPr>
        <w:t>, expected to be delivered online</w:t>
      </w:r>
      <w:r w:rsidR="002B0F7F">
        <w:rPr>
          <w:rFonts w:ascii="Verdana" w:eastAsiaTheme="minorHAnsi" w:hAnsi="Verdana" w:cstheme="minorBidi"/>
          <w:sz w:val="18"/>
          <w:szCs w:val="18"/>
          <w:lang w:val="en-GB" w:eastAsia="en-US"/>
        </w:rPr>
        <w:t xml:space="preserve"> in the situation of ongoing COVID-19 pandemic</w:t>
      </w:r>
      <w:r w:rsidR="002A6258">
        <w:rPr>
          <w:rFonts w:ascii="Verdana" w:eastAsiaTheme="minorHAnsi" w:hAnsi="Verdana" w:cstheme="minorBidi"/>
          <w:sz w:val="18"/>
          <w:szCs w:val="18"/>
          <w:lang w:val="en-GB" w:eastAsia="en-US"/>
        </w:rPr>
        <w:t>, is one of the tools for acting and prospective investigators to obtain such knowledge on the basis of the Council of Europe standards and materials</w:t>
      </w:r>
      <w:r w:rsidRPr="002A6258">
        <w:rPr>
          <w:rFonts w:ascii="Verdana" w:eastAsiaTheme="minorHAnsi" w:hAnsi="Verdana" w:cstheme="minorBidi"/>
          <w:sz w:val="18"/>
          <w:szCs w:val="18"/>
          <w:lang w:val="en-GB" w:eastAsia="en-US"/>
        </w:rPr>
        <w:t>.</w:t>
      </w:r>
    </w:p>
    <w:p w14:paraId="6BE757F8" w14:textId="77777777" w:rsidR="00EF21F2" w:rsidRPr="00EF21F2" w:rsidRDefault="00EF21F2" w:rsidP="00EF21F2">
      <w:pPr>
        <w:keepNext/>
        <w:keepLines/>
        <w:spacing w:before="360" w:after="120" w:line="276" w:lineRule="auto"/>
        <w:jc w:val="both"/>
        <w:outlineLvl w:val="0"/>
        <w:rPr>
          <w:rFonts w:ascii="Verdana" w:eastAsiaTheme="majorEastAsia" w:hAnsi="Verdana" w:cstheme="majorBidi"/>
          <w:b/>
          <w:bCs/>
          <w:color w:val="2F618F"/>
          <w:szCs w:val="28"/>
          <w:lang w:val="en-GB" w:eastAsia="en-US"/>
        </w:rPr>
      </w:pPr>
      <w:r w:rsidRPr="00EF21F2">
        <w:rPr>
          <w:rFonts w:ascii="Verdana" w:eastAsiaTheme="majorEastAsia" w:hAnsi="Verdana" w:cstheme="majorBidi"/>
          <w:b/>
          <w:bCs/>
          <w:color w:val="2F618F"/>
          <w:szCs w:val="28"/>
          <w:lang w:val="en-GB" w:eastAsia="en-US"/>
        </w:rPr>
        <w:t>Expected outcome</w:t>
      </w:r>
    </w:p>
    <w:p w14:paraId="2526B81C" w14:textId="08A3801A" w:rsidR="00EF21F2" w:rsidRPr="002A6258" w:rsidRDefault="00EF21F2" w:rsidP="00EF21F2">
      <w:pPr>
        <w:spacing w:after="200" w:line="276" w:lineRule="auto"/>
        <w:jc w:val="both"/>
        <w:rPr>
          <w:rFonts w:ascii="Verdana" w:eastAsiaTheme="minorHAnsi" w:hAnsi="Verdana" w:cstheme="minorBidi"/>
          <w:sz w:val="18"/>
          <w:szCs w:val="18"/>
          <w:lang w:val="en-GB" w:eastAsia="en-US"/>
        </w:rPr>
      </w:pPr>
      <w:r w:rsidRPr="002A6258">
        <w:rPr>
          <w:rFonts w:ascii="Verdana" w:eastAsiaTheme="minorHAnsi" w:hAnsi="Verdana" w:cstheme="minorBidi"/>
          <w:sz w:val="18"/>
          <w:szCs w:val="18"/>
          <w:lang w:val="en-GB" w:eastAsia="en-US"/>
        </w:rPr>
        <w:t xml:space="preserve">Organized by the </w:t>
      </w:r>
      <w:r w:rsidR="002A6258">
        <w:rPr>
          <w:rFonts w:ascii="Verdana" w:eastAsiaTheme="minorHAnsi" w:hAnsi="Verdana" w:cstheme="minorBidi"/>
          <w:sz w:val="18"/>
          <w:szCs w:val="18"/>
          <w:lang w:val="en-GB" w:eastAsia="en-US"/>
        </w:rPr>
        <w:t>CyberEast project in cooperation with [entity]</w:t>
      </w:r>
      <w:r w:rsidRPr="002A6258">
        <w:rPr>
          <w:rFonts w:ascii="Verdana" w:eastAsiaTheme="minorHAnsi" w:hAnsi="Verdana" w:cstheme="minorBidi"/>
          <w:sz w:val="18"/>
          <w:szCs w:val="18"/>
          <w:lang w:val="en-GB" w:eastAsia="en-US"/>
        </w:rPr>
        <w:t>, the event contributes directly to output 2.1 of the CyberEast project (</w:t>
      </w:r>
      <w:r w:rsidRPr="002A6258">
        <w:rPr>
          <w:rFonts w:ascii="Verdana" w:eastAsiaTheme="minorHAnsi" w:hAnsi="Verdana" w:cstheme="minorBidi"/>
          <w:i/>
          <w:sz w:val="18"/>
          <w:szCs w:val="18"/>
          <w:lang w:val="en-GB" w:eastAsia="en-US"/>
        </w:rPr>
        <w:t>Skills and institutional setup of operational cybercrime units in law enforcement authorities’ and judicial authorities dealing with cybercrime and electronic evidence are strengthened</w:t>
      </w:r>
      <w:r w:rsidRPr="002A6258">
        <w:rPr>
          <w:rFonts w:ascii="Verdana" w:eastAsiaTheme="minorHAnsi" w:hAnsi="Verdana" w:cstheme="minorBidi"/>
          <w:sz w:val="18"/>
          <w:szCs w:val="18"/>
          <w:lang w:val="en-GB" w:eastAsia="en-US"/>
        </w:rPr>
        <w:t>)</w:t>
      </w:r>
      <w:r w:rsidR="008E2F72" w:rsidRPr="002A6258">
        <w:rPr>
          <w:rFonts w:ascii="Verdana" w:eastAsiaTheme="minorHAnsi" w:hAnsi="Verdana" w:cstheme="minorBidi"/>
          <w:sz w:val="18"/>
          <w:szCs w:val="18"/>
          <w:lang w:val="en-GB" w:eastAsia="en-US"/>
        </w:rPr>
        <w:t>.</w:t>
      </w:r>
      <w:r w:rsidRPr="002A6258">
        <w:rPr>
          <w:rFonts w:ascii="Verdana" w:eastAsiaTheme="minorHAnsi" w:hAnsi="Verdana" w:cstheme="minorBidi"/>
          <w:sz w:val="18"/>
          <w:szCs w:val="18"/>
          <w:lang w:val="en-GB" w:eastAsia="en-US"/>
        </w:rPr>
        <w:t xml:space="preserve"> </w:t>
      </w:r>
      <w:r w:rsidR="008E2F72" w:rsidRPr="002A6258">
        <w:rPr>
          <w:rFonts w:ascii="Verdana" w:eastAsiaTheme="minorHAnsi" w:hAnsi="Verdana" w:cstheme="minorBidi"/>
          <w:sz w:val="18"/>
          <w:szCs w:val="18"/>
          <w:lang w:val="en-GB" w:eastAsia="en-US"/>
        </w:rPr>
        <w:t>The First Responder Training for Investigators on Cybercrime and Electronic Evidence</w:t>
      </w:r>
      <w:r w:rsidR="002A6258">
        <w:rPr>
          <w:rFonts w:ascii="Verdana" w:eastAsiaTheme="minorHAnsi" w:hAnsi="Verdana" w:cstheme="minorBidi"/>
          <w:sz w:val="18"/>
          <w:szCs w:val="18"/>
          <w:lang w:val="en-GB" w:eastAsia="en-US"/>
        </w:rPr>
        <w:t xml:space="preserve"> </w:t>
      </w:r>
      <w:r w:rsidRPr="002A6258">
        <w:rPr>
          <w:rFonts w:ascii="Verdana" w:eastAsiaTheme="minorHAnsi" w:hAnsi="Verdana" w:cstheme="minorBidi"/>
          <w:sz w:val="18"/>
          <w:szCs w:val="18"/>
          <w:lang w:val="en-GB" w:eastAsia="en-US"/>
        </w:rPr>
        <w:t xml:space="preserve">is expected to develop the introductory skills and knowledge required for </w:t>
      </w:r>
      <w:r w:rsidR="008E2F72" w:rsidRPr="002A6258">
        <w:rPr>
          <w:rFonts w:ascii="Verdana" w:eastAsiaTheme="minorHAnsi" w:hAnsi="Verdana" w:cstheme="minorBidi"/>
          <w:sz w:val="18"/>
          <w:szCs w:val="18"/>
          <w:lang w:val="en-GB" w:eastAsia="en-US"/>
        </w:rPr>
        <w:t>investigators</w:t>
      </w:r>
      <w:r w:rsidRPr="002A6258">
        <w:rPr>
          <w:rFonts w:ascii="Verdana" w:eastAsiaTheme="minorHAnsi" w:hAnsi="Verdana" w:cstheme="minorBidi"/>
          <w:sz w:val="18"/>
          <w:szCs w:val="18"/>
          <w:lang w:val="en-GB" w:eastAsia="en-US"/>
        </w:rPr>
        <w:t xml:space="preserve"> to fulfil their respective roles and functions in cases of cybercrime, electronic evidence and search, seizure and confiscation of online crime proceeds.</w:t>
      </w:r>
    </w:p>
    <w:p w14:paraId="003CA4AA" w14:textId="77777777" w:rsidR="00EF21F2" w:rsidRPr="00EF21F2" w:rsidRDefault="00EF21F2" w:rsidP="00EF21F2">
      <w:pPr>
        <w:keepNext/>
        <w:keepLines/>
        <w:spacing w:before="360" w:after="120" w:line="276" w:lineRule="auto"/>
        <w:jc w:val="both"/>
        <w:outlineLvl w:val="0"/>
        <w:rPr>
          <w:rFonts w:ascii="Verdana" w:eastAsiaTheme="majorEastAsia" w:hAnsi="Verdana" w:cstheme="majorBidi"/>
          <w:b/>
          <w:bCs/>
          <w:color w:val="2F618F"/>
          <w:szCs w:val="28"/>
          <w:lang w:val="en-GB" w:eastAsia="en-US"/>
        </w:rPr>
      </w:pPr>
      <w:r w:rsidRPr="00EF21F2">
        <w:rPr>
          <w:rFonts w:ascii="Verdana" w:eastAsiaTheme="majorEastAsia" w:hAnsi="Verdana" w:cstheme="majorBidi"/>
          <w:b/>
          <w:bCs/>
          <w:color w:val="2F618F"/>
          <w:szCs w:val="28"/>
          <w:lang w:val="en-GB" w:eastAsia="en-US"/>
        </w:rPr>
        <w:lastRenderedPageBreak/>
        <w:t>Participants</w:t>
      </w:r>
    </w:p>
    <w:p w14:paraId="3185BC4A" w14:textId="20B88245" w:rsidR="00EF21F2" w:rsidRPr="002A6258" w:rsidRDefault="00EF21F2" w:rsidP="00EF21F2">
      <w:pPr>
        <w:spacing w:after="200" w:line="276" w:lineRule="auto"/>
        <w:jc w:val="both"/>
        <w:rPr>
          <w:rFonts w:ascii="Verdana" w:eastAsiaTheme="minorHAnsi" w:hAnsi="Verdana" w:cstheme="minorBidi"/>
          <w:sz w:val="18"/>
          <w:szCs w:val="18"/>
          <w:lang w:val="en-GB" w:eastAsia="en-US"/>
        </w:rPr>
      </w:pPr>
      <w:r w:rsidRPr="002A6258">
        <w:rPr>
          <w:rFonts w:ascii="Verdana" w:eastAsiaTheme="minorHAnsi" w:hAnsi="Verdana" w:cstheme="minorBidi"/>
          <w:sz w:val="18"/>
          <w:szCs w:val="18"/>
          <w:lang w:val="en-GB" w:eastAsia="en-US"/>
        </w:rPr>
        <w:t xml:space="preserve">The event is organized </w:t>
      </w:r>
      <w:r w:rsidR="002A6258">
        <w:rPr>
          <w:rFonts w:ascii="Verdana" w:eastAsiaTheme="minorHAnsi" w:hAnsi="Verdana" w:cstheme="minorBidi"/>
          <w:sz w:val="18"/>
          <w:szCs w:val="18"/>
          <w:lang w:val="en-GB" w:eastAsia="en-US"/>
        </w:rPr>
        <w:t>online by the CyberEast project in cooperation with [entity]</w:t>
      </w:r>
      <w:r w:rsidR="008E2F72" w:rsidRPr="002A6258">
        <w:rPr>
          <w:rFonts w:ascii="Verdana" w:eastAsiaTheme="minorHAnsi" w:hAnsi="Verdana" w:cstheme="minorBidi"/>
          <w:sz w:val="18"/>
          <w:szCs w:val="18"/>
          <w:lang w:val="en-GB" w:eastAsia="en-US"/>
        </w:rPr>
        <w:t xml:space="preserve"> and</w:t>
      </w:r>
      <w:r w:rsidRPr="002A6258">
        <w:rPr>
          <w:rFonts w:ascii="Verdana" w:eastAsiaTheme="minorHAnsi" w:hAnsi="Verdana" w:cstheme="minorBidi"/>
          <w:sz w:val="18"/>
          <w:szCs w:val="18"/>
          <w:lang w:val="en-GB" w:eastAsia="en-US"/>
        </w:rPr>
        <w:t xml:space="preserve"> will be attended by </w:t>
      </w:r>
      <w:r w:rsidR="002A6258">
        <w:rPr>
          <w:rFonts w:ascii="Verdana" w:eastAsiaTheme="minorHAnsi" w:hAnsi="Verdana" w:cstheme="minorBidi"/>
          <w:sz w:val="18"/>
          <w:szCs w:val="18"/>
          <w:lang w:val="en-GB" w:eastAsia="en-US"/>
        </w:rPr>
        <w:t>police officers, detectives and</w:t>
      </w:r>
      <w:r w:rsidRPr="002A6258">
        <w:rPr>
          <w:rFonts w:ascii="Verdana" w:eastAsiaTheme="minorHAnsi" w:hAnsi="Verdana" w:cstheme="minorBidi"/>
          <w:sz w:val="18"/>
          <w:szCs w:val="18"/>
          <w:lang w:val="en-GB" w:eastAsia="en-US"/>
        </w:rPr>
        <w:t xml:space="preserve"> </w:t>
      </w:r>
      <w:r w:rsidR="008E2F72" w:rsidRPr="002A6258">
        <w:rPr>
          <w:rFonts w:ascii="Verdana" w:eastAsiaTheme="minorHAnsi" w:hAnsi="Verdana" w:cstheme="minorBidi"/>
          <w:sz w:val="18"/>
          <w:szCs w:val="18"/>
          <w:lang w:val="en-GB" w:eastAsia="en-US"/>
        </w:rPr>
        <w:t>investigators</w:t>
      </w:r>
      <w:r w:rsidRPr="002A6258">
        <w:rPr>
          <w:rFonts w:ascii="Verdana" w:eastAsiaTheme="minorHAnsi" w:hAnsi="Verdana" w:cstheme="minorBidi"/>
          <w:sz w:val="18"/>
          <w:szCs w:val="18"/>
          <w:lang w:val="en-GB" w:eastAsia="en-US"/>
        </w:rPr>
        <w:t xml:space="preserve"> from across the country. The course will be delivered and supported by:</w:t>
      </w:r>
    </w:p>
    <w:p w14:paraId="72953501" w14:textId="7658733D" w:rsidR="00EF21F2" w:rsidRPr="002A6258" w:rsidRDefault="00EF21F2" w:rsidP="00EF21F2">
      <w:pPr>
        <w:numPr>
          <w:ilvl w:val="0"/>
          <w:numId w:val="1"/>
        </w:numPr>
        <w:spacing w:after="60" w:line="260" w:lineRule="atLeast"/>
        <w:ind w:left="851"/>
        <w:contextualSpacing/>
        <w:jc w:val="both"/>
        <w:rPr>
          <w:rFonts w:ascii="Verdana" w:eastAsia="Calibri" w:hAnsi="Verdana"/>
          <w:sz w:val="18"/>
          <w:szCs w:val="18"/>
          <w:lang w:val="en-GB" w:eastAsia="en-US"/>
        </w:rPr>
      </w:pPr>
      <w:r w:rsidRPr="002A6258">
        <w:rPr>
          <w:rFonts w:ascii="Verdana" w:eastAsia="Calibri" w:hAnsi="Verdana"/>
          <w:sz w:val="18"/>
          <w:szCs w:val="18"/>
          <w:lang w:val="en-GB" w:eastAsia="en-US"/>
        </w:rPr>
        <w:t xml:space="preserve">Two </w:t>
      </w:r>
      <w:r w:rsidR="002A6258">
        <w:rPr>
          <w:rFonts w:ascii="Verdana" w:eastAsia="Calibri" w:hAnsi="Verdana"/>
          <w:sz w:val="18"/>
          <w:szCs w:val="18"/>
          <w:lang w:val="en-GB" w:eastAsia="en-US"/>
        </w:rPr>
        <w:t xml:space="preserve">international </w:t>
      </w:r>
      <w:r w:rsidRPr="002A6258">
        <w:rPr>
          <w:rFonts w:ascii="Verdana" w:eastAsia="Calibri" w:hAnsi="Verdana"/>
          <w:sz w:val="18"/>
          <w:szCs w:val="18"/>
          <w:lang w:val="en-GB" w:eastAsia="en-US"/>
        </w:rPr>
        <w:t>cybercrime training experts;</w:t>
      </w:r>
    </w:p>
    <w:p w14:paraId="611F5295" w14:textId="77777777" w:rsidR="00EF21F2" w:rsidRPr="002A6258" w:rsidRDefault="00EF21F2" w:rsidP="00EF21F2">
      <w:pPr>
        <w:numPr>
          <w:ilvl w:val="0"/>
          <w:numId w:val="1"/>
        </w:numPr>
        <w:spacing w:after="60" w:line="260" w:lineRule="atLeast"/>
        <w:ind w:left="851"/>
        <w:contextualSpacing/>
        <w:jc w:val="both"/>
        <w:rPr>
          <w:rFonts w:ascii="Verdana" w:eastAsia="Calibri" w:hAnsi="Verdana"/>
          <w:sz w:val="18"/>
          <w:szCs w:val="18"/>
          <w:lang w:val="en-GB" w:eastAsia="en-US"/>
        </w:rPr>
      </w:pPr>
      <w:r w:rsidRPr="002A6258">
        <w:rPr>
          <w:rFonts w:ascii="Verdana" w:eastAsia="Calibri" w:hAnsi="Verdana"/>
          <w:sz w:val="18"/>
          <w:szCs w:val="18"/>
          <w:lang w:val="en-GB" w:eastAsia="en-US"/>
        </w:rPr>
        <w:t>C-PROC staff to supervise the development and delivery of the course as well providing support in administrative matters.</w:t>
      </w:r>
    </w:p>
    <w:p w14:paraId="09B01BA3" w14:textId="77777777" w:rsidR="00EF21F2" w:rsidRPr="00EF21F2" w:rsidRDefault="00EF21F2" w:rsidP="00EF21F2">
      <w:pPr>
        <w:keepNext/>
        <w:keepLines/>
        <w:spacing w:before="360" w:after="120" w:line="276" w:lineRule="auto"/>
        <w:jc w:val="both"/>
        <w:outlineLvl w:val="0"/>
        <w:rPr>
          <w:rFonts w:ascii="Verdana" w:eastAsiaTheme="majorEastAsia" w:hAnsi="Verdana" w:cstheme="majorBidi"/>
          <w:b/>
          <w:bCs/>
          <w:color w:val="2F618F"/>
          <w:szCs w:val="28"/>
          <w:lang w:val="en-GB" w:eastAsia="en-US"/>
        </w:rPr>
      </w:pPr>
      <w:r w:rsidRPr="00EF21F2">
        <w:rPr>
          <w:rFonts w:ascii="Verdana" w:eastAsiaTheme="majorEastAsia" w:hAnsi="Verdana" w:cstheme="majorBidi"/>
          <w:b/>
          <w:bCs/>
          <w:color w:val="2F618F"/>
          <w:szCs w:val="28"/>
          <w:lang w:val="en-GB" w:eastAsia="en-US"/>
        </w:rPr>
        <w:t>Administrative arrangements and location</w:t>
      </w:r>
    </w:p>
    <w:p w14:paraId="16520C46" w14:textId="40D585E2" w:rsidR="002B0F7F" w:rsidRDefault="002B0F7F" w:rsidP="002B0F7F">
      <w:pPr>
        <w:shd w:val="clear" w:color="auto" w:fill="FFFFFF"/>
        <w:spacing w:line="276" w:lineRule="auto"/>
        <w:rPr>
          <w:rFonts w:ascii="Verdana" w:eastAsiaTheme="minorHAnsi" w:hAnsi="Verdana" w:cstheme="minorBidi"/>
          <w:sz w:val="18"/>
          <w:szCs w:val="18"/>
          <w:lang w:val="en-GB" w:eastAsia="en-US"/>
        </w:rPr>
      </w:pPr>
      <w:r w:rsidRPr="002B0F7F">
        <w:rPr>
          <w:rFonts w:ascii="Verdana" w:eastAsiaTheme="minorHAnsi" w:hAnsi="Verdana" w:cstheme="minorBidi"/>
          <w:sz w:val="18"/>
          <w:szCs w:val="18"/>
          <w:lang w:val="en-GB" w:eastAsia="en-US"/>
        </w:rPr>
        <w:t>The event will be conducted virtually, on Council of Europe’s KUDO platform to address the needs of virtual meetings with interpretation.</w:t>
      </w:r>
    </w:p>
    <w:p w14:paraId="5A7E0C9C" w14:textId="77777777" w:rsidR="002B0F7F" w:rsidRPr="002B0F7F" w:rsidRDefault="002B0F7F" w:rsidP="002B0F7F">
      <w:pPr>
        <w:shd w:val="clear" w:color="auto" w:fill="FFFFFF"/>
        <w:spacing w:line="276" w:lineRule="auto"/>
        <w:rPr>
          <w:rFonts w:ascii="Verdana" w:eastAsiaTheme="minorHAnsi" w:hAnsi="Verdana" w:cstheme="minorBidi"/>
          <w:sz w:val="18"/>
          <w:szCs w:val="18"/>
          <w:lang w:val="en-GB" w:eastAsia="en-US"/>
        </w:rPr>
      </w:pPr>
    </w:p>
    <w:p w14:paraId="64AD8D6E" w14:textId="17D9E93E" w:rsidR="002B0F7F" w:rsidRPr="002B0F7F" w:rsidRDefault="002B0F7F" w:rsidP="002B0F7F">
      <w:pPr>
        <w:shd w:val="clear" w:color="auto" w:fill="FFFFFF"/>
        <w:spacing w:line="276" w:lineRule="auto"/>
        <w:rPr>
          <w:rFonts w:ascii="Verdana" w:eastAsiaTheme="minorHAnsi" w:hAnsi="Verdana" w:cstheme="minorBidi"/>
          <w:sz w:val="18"/>
          <w:szCs w:val="18"/>
          <w:lang w:val="en-GB" w:eastAsia="en-US"/>
        </w:rPr>
      </w:pPr>
      <w:bookmarkStart w:id="0" w:name="_Hlk60393834"/>
      <w:r w:rsidRPr="002B0F7F">
        <w:rPr>
          <w:rFonts w:ascii="Verdana" w:eastAsiaTheme="minorHAnsi" w:hAnsi="Verdana" w:cstheme="minorBidi"/>
          <w:sz w:val="18"/>
          <w:szCs w:val="18"/>
          <w:lang w:val="en-GB" w:eastAsia="en-US"/>
        </w:rPr>
        <w:t xml:space="preserve">Simultaneous interpretation between </w:t>
      </w:r>
      <w:r>
        <w:rPr>
          <w:rFonts w:ascii="Verdana" w:eastAsiaTheme="minorHAnsi" w:hAnsi="Verdana" w:cstheme="minorBidi"/>
          <w:sz w:val="18"/>
          <w:szCs w:val="18"/>
          <w:lang w:val="en-GB" w:eastAsia="en-US"/>
        </w:rPr>
        <w:t>XXX</w:t>
      </w:r>
      <w:r w:rsidRPr="002B0F7F">
        <w:rPr>
          <w:rFonts w:ascii="Verdana" w:eastAsiaTheme="minorHAnsi" w:hAnsi="Verdana" w:cstheme="minorBidi"/>
          <w:sz w:val="18"/>
          <w:szCs w:val="18"/>
          <w:lang w:val="en-GB" w:eastAsia="en-US"/>
        </w:rPr>
        <w:t xml:space="preserve"> and English will be available throughout the event.</w:t>
      </w:r>
    </w:p>
    <w:bookmarkEnd w:id="0"/>
    <w:p w14:paraId="6BACC3BD" w14:textId="77777777" w:rsidR="002B0F7F" w:rsidRDefault="002B0F7F" w:rsidP="002B0F7F">
      <w:pPr>
        <w:shd w:val="clear" w:color="auto" w:fill="FFFFFF"/>
        <w:spacing w:line="276" w:lineRule="auto"/>
        <w:rPr>
          <w:rFonts w:ascii="Verdana" w:eastAsiaTheme="minorHAnsi" w:hAnsi="Verdana" w:cstheme="minorBidi"/>
          <w:sz w:val="18"/>
          <w:szCs w:val="18"/>
          <w:lang w:val="en-GB" w:eastAsia="en-US"/>
        </w:rPr>
      </w:pPr>
    </w:p>
    <w:p w14:paraId="7117910C" w14:textId="2ED28224" w:rsidR="002B0F7F" w:rsidRPr="002B0F7F" w:rsidRDefault="002B0F7F" w:rsidP="002B0F7F">
      <w:pPr>
        <w:shd w:val="clear" w:color="auto" w:fill="FFFFFF"/>
        <w:spacing w:line="276" w:lineRule="auto"/>
        <w:rPr>
          <w:rFonts w:ascii="Verdana" w:eastAsiaTheme="minorHAnsi" w:hAnsi="Verdana" w:cstheme="minorBidi"/>
          <w:sz w:val="18"/>
          <w:szCs w:val="18"/>
          <w:lang w:val="en-GB" w:eastAsia="en-US"/>
        </w:rPr>
      </w:pPr>
      <w:r w:rsidRPr="002B0F7F">
        <w:rPr>
          <w:rFonts w:ascii="Verdana" w:eastAsiaTheme="minorHAnsi" w:hAnsi="Verdana" w:cstheme="minorBidi"/>
          <w:sz w:val="18"/>
          <w:szCs w:val="18"/>
          <w:lang w:val="en-GB" w:eastAsia="en-US"/>
        </w:rPr>
        <w:t xml:space="preserve">Unless specified otherwise, all times indicated in the programme correspond to </w:t>
      </w:r>
      <w:r>
        <w:rPr>
          <w:rFonts w:ascii="Verdana" w:eastAsiaTheme="minorHAnsi" w:hAnsi="Verdana" w:cstheme="minorBidi"/>
          <w:sz w:val="18"/>
          <w:szCs w:val="18"/>
          <w:lang w:val="en-GB" w:eastAsia="en-US"/>
        </w:rPr>
        <w:t>XXX</w:t>
      </w:r>
      <w:r w:rsidRPr="002B0F7F">
        <w:rPr>
          <w:rFonts w:ascii="Verdana" w:eastAsiaTheme="minorHAnsi" w:hAnsi="Verdana" w:cstheme="minorBidi"/>
          <w:sz w:val="18"/>
          <w:szCs w:val="18"/>
          <w:lang w:val="en-GB" w:eastAsia="en-US"/>
        </w:rPr>
        <w:t xml:space="preserve"> local time.</w:t>
      </w:r>
    </w:p>
    <w:p w14:paraId="63D2FBCF" w14:textId="77777777" w:rsidR="005929C8" w:rsidRPr="002B0F7F" w:rsidRDefault="005929C8" w:rsidP="00EF21F2">
      <w:pPr>
        <w:shd w:val="clear" w:color="auto" w:fill="FFFFFF"/>
        <w:spacing w:line="276" w:lineRule="auto"/>
        <w:rPr>
          <w:rFonts w:ascii="Verdana" w:eastAsiaTheme="majorEastAsia" w:hAnsi="Verdana" w:cstheme="majorBidi"/>
          <w:b/>
          <w:bCs/>
          <w:color w:val="2F618F"/>
          <w:sz w:val="18"/>
          <w:szCs w:val="18"/>
          <w:lang w:val="en-GB" w:eastAsia="en-US"/>
        </w:rPr>
      </w:pPr>
    </w:p>
    <w:p w14:paraId="30130D11" w14:textId="77777777" w:rsidR="001A1220" w:rsidRPr="002B0F7F" w:rsidRDefault="001A1220">
      <w:pPr>
        <w:spacing w:after="200" w:line="276" w:lineRule="auto"/>
        <w:rPr>
          <w:rFonts w:ascii="Verdana" w:eastAsiaTheme="majorEastAsia" w:hAnsi="Verdana" w:cstheme="majorBidi"/>
          <w:b/>
          <w:bCs/>
          <w:color w:val="2F618F"/>
          <w:sz w:val="18"/>
          <w:szCs w:val="18"/>
          <w:lang w:val="en-GB" w:eastAsia="en-US"/>
        </w:rPr>
      </w:pPr>
      <w:r w:rsidRPr="002B0F7F">
        <w:rPr>
          <w:rFonts w:ascii="Verdana" w:eastAsiaTheme="majorEastAsia" w:hAnsi="Verdana" w:cstheme="majorBidi"/>
          <w:b/>
          <w:bCs/>
          <w:color w:val="2F618F"/>
          <w:sz w:val="18"/>
          <w:szCs w:val="18"/>
          <w:lang w:val="en-GB" w:eastAsia="en-US"/>
        </w:rPr>
        <w:br w:type="page"/>
      </w:r>
    </w:p>
    <w:p w14:paraId="65E908FC" w14:textId="77777777" w:rsidR="00AC1B74" w:rsidRPr="00696C24" w:rsidRDefault="00696C24" w:rsidP="00EF21F2">
      <w:pPr>
        <w:shd w:val="clear" w:color="auto" w:fill="FFFFFF"/>
        <w:spacing w:line="276" w:lineRule="auto"/>
        <w:rPr>
          <w:rFonts w:ascii="Verdana" w:eastAsiaTheme="majorEastAsia" w:hAnsi="Verdana" w:cstheme="majorBidi"/>
          <w:b/>
          <w:bCs/>
          <w:color w:val="2F618F"/>
          <w:szCs w:val="28"/>
          <w:lang w:val="en-GB" w:eastAsia="en-US"/>
        </w:rPr>
      </w:pPr>
      <w:r w:rsidRPr="00696C24">
        <w:rPr>
          <w:rFonts w:ascii="Verdana" w:eastAsiaTheme="majorEastAsia" w:hAnsi="Verdana" w:cstheme="majorBidi"/>
          <w:b/>
          <w:bCs/>
          <w:color w:val="2F618F"/>
          <w:szCs w:val="28"/>
          <w:lang w:val="en-GB" w:eastAsia="en-US"/>
        </w:rPr>
        <w:lastRenderedPageBreak/>
        <w:t>PROGRAMME</w:t>
      </w:r>
    </w:p>
    <w:p w14:paraId="380A9426" w14:textId="77777777" w:rsidR="00D013C7" w:rsidRPr="00EF21F2" w:rsidRDefault="00D013C7" w:rsidP="00D013C7">
      <w:pPr>
        <w:jc w:val="both"/>
        <w:rPr>
          <w:rFonts w:ascii="Verdana" w:hAnsi="Verdana"/>
          <w:sz w:val="20"/>
          <w:szCs w:val="20"/>
          <w:lang w:val="en-US"/>
        </w:rPr>
      </w:pPr>
    </w:p>
    <w:tbl>
      <w:tblPr>
        <w:tblStyle w:val="MediumList2-Accent1"/>
        <w:tblW w:w="9039" w:type="dxa"/>
        <w:tblCellMar>
          <w:top w:w="28" w:type="dxa"/>
          <w:bottom w:w="28" w:type="dxa"/>
        </w:tblCellMar>
        <w:tblLook w:val="04A0" w:firstRow="1" w:lastRow="0" w:firstColumn="1" w:lastColumn="0" w:noHBand="0" w:noVBand="1"/>
      </w:tblPr>
      <w:tblGrid>
        <w:gridCol w:w="869"/>
        <w:gridCol w:w="8170"/>
      </w:tblGrid>
      <w:tr w:rsidR="00075D70" w:rsidRPr="00012FDF" w14:paraId="6A9DDB10" w14:textId="77777777" w:rsidTr="00176A2A">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9039" w:type="dxa"/>
            <w:gridSpan w:val="2"/>
            <w:tcBorders>
              <w:bottom w:val="single" w:sz="4" w:space="0" w:color="auto"/>
            </w:tcBorders>
            <w:vAlign w:val="center"/>
          </w:tcPr>
          <w:p w14:paraId="08E23F2A" w14:textId="75D5CB7D" w:rsidR="00075D70" w:rsidRPr="00012FDF" w:rsidRDefault="00075D70" w:rsidP="003F4959">
            <w:pPr>
              <w:spacing w:before="60" w:after="60"/>
              <w:rPr>
                <w:rFonts w:ascii="Verdana" w:hAnsi="Verdana"/>
                <w:b/>
                <w:sz w:val="18"/>
                <w:szCs w:val="18"/>
                <w:lang w:val="en-US"/>
              </w:rPr>
            </w:pPr>
            <w:r w:rsidRPr="00012FDF">
              <w:rPr>
                <w:rFonts w:ascii="Verdana" w:hAnsi="Verdana"/>
                <w:b/>
                <w:color w:val="2F618F"/>
                <w:sz w:val="18"/>
                <w:szCs w:val="18"/>
                <w:lang w:val="en-US"/>
              </w:rPr>
              <w:t>COURSE DAY 1</w:t>
            </w:r>
          </w:p>
        </w:tc>
      </w:tr>
      <w:tr w:rsidR="00075D70" w:rsidRPr="00012FDF" w14:paraId="2921C59A" w14:textId="77777777" w:rsidTr="00176A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vAlign w:val="center"/>
          </w:tcPr>
          <w:p w14:paraId="44E9E67B" w14:textId="77777777"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9h</w:t>
            </w:r>
            <w:r w:rsidR="007A0AA2">
              <w:rPr>
                <w:rFonts w:ascii="Verdana" w:hAnsi="Verdana"/>
                <w:sz w:val="18"/>
                <w:szCs w:val="18"/>
                <w:lang w:val="en-US"/>
              </w:rPr>
              <w:t>3</w:t>
            </w:r>
            <w:r w:rsidRPr="00012FDF">
              <w:rPr>
                <w:rFonts w:ascii="Verdana" w:hAnsi="Verdana"/>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0D099AC1" w14:textId="679D6B98" w:rsidR="00176A2A" w:rsidRDefault="00176A2A" w:rsidP="00176A2A">
            <w:pPr>
              <w:pStyle w:val="OutlBullets"/>
              <w:numPr>
                <w:ilvl w:val="0"/>
                <w:numId w:val="0"/>
              </w:numPr>
              <w:spacing w:before="60" w:line="240" w:lineRule="auto"/>
              <w:ind w:left="360" w:hanging="360"/>
              <w:contextualSpacing w:val="0"/>
              <w:cnfStyle w:val="000000100000" w:firstRow="0" w:lastRow="0" w:firstColumn="0" w:lastColumn="0" w:oddVBand="0" w:evenVBand="0" w:oddHBand="1" w:evenHBand="0" w:firstRowFirstColumn="0" w:firstRowLastColumn="0" w:lastRowFirstColumn="0" w:lastRowLastColumn="0"/>
              <w:rPr>
                <w:rFonts w:eastAsiaTheme="majorEastAsia" w:cstheme="majorBidi"/>
                <w:b/>
                <w:bCs/>
                <w:snapToGrid/>
                <w:sz w:val="18"/>
                <w:szCs w:val="18"/>
                <w:lang w:eastAsia="en-US"/>
              </w:rPr>
            </w:pPr>
            <w:r w:rsidRPr="00012FDF">
              <w:rPr>
                <w:rFonts w:eastAsiaTheme="majorEastAsia" w:cstheme="majorBidi"/>
                <w:b/>
                <w:bCs/>
                <w:snapToGrid/>
                <w:sz w:val="18"/>
                <w:szCs w:val="18"/>
                <w:lang w:eastAsia="en-US"/>
              </w:rPr>
              <w:t>Course Introduction, Agenda and Objectives</w:t>
            </w:r>
          </w:p>
          <w:p w14:paraId="2BD16AD8" w14:textId="77777777" w:rsidR="00176A2A"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
                <w:bCs/>
                <w:sz w:val="18"/>
                <w:szCs w:val="18"/>
                <w:lang w:val="en-US"/>
              </w:rPr>
              <w:t>Introduction to Cybercrime</w:t>
            </w:r>
          </w:p>
          <w:p w14:paraId="0186BD88" w14:textId="448286CD" w:rsidR="00075D70" w:rsidRPr="00D82E91" w:rsidRDefault="00176A2A" w:rsidP="00176A2A">
            <w:pPr>
              <w:pStyle w:val="OutlBullets"/>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eastAsiaTheme="majorEastAsia" w:cstheme="majorBidi"/>
                <w:sz w:val="18"/>
                <w:szCs w:val="18"/>
              </w:rPr>
            </w:pPr>
            <w:r w:rsidRPr="00012FDF">
              <w:rPr>
                <w:bCs/>
                <w:sz w:val="18"/>
                <w:szCs w:val="18"/>
              </w:rPr>
              <w:t>Council of Europe experts</w:t>
            </w:r>
          </w:p>
        </w:tc>
      </w:tr>
      <w:tr w:rsidR="00075D70" w:rsidRPr="00012FDF" w14:paraId="1628F23B" w14:textId="77777777" w:rsidTr="003F4959">
        <w:trPr>
          <w:trHeight w:val="179"/>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12099B" w14:textId="44DE2FE9"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w:t>
            </w:r>
            <w:r w:rsidR="007A0AA2">
              <w:rPr>
                <w:rFonts w:ascii="Verdana" w:hAnsi="Verdana"/>
                <w:b/>
                <w:sz w:val="18"/>
                <w:szCs w:val="18"/>
                <w:lang w:val="en-US"/>
              </w:rPr>
              <w:t>1</w:t>
            </w:r>
            <w:r w:rsidRPr="00012FDF">
              <w:rPr>
                <w:rFonts w:ascii="Verdana" w:hAnsi="Verdana"/>
                <w:b/>
                <w:sz w:val="18"/>
                <w:szCs w:val="18"/>
                <w:lang w:val="en-US"/>
              </w:rPr>
              <w:t>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072525"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Coffee Break</w:t>
            </w:r>
          </w:p>
        </w:tc>
      </w:tr>
      <w:tr w:rsidR="00075D70" w:rsidRPr="00012FDF" w14:paraId="7B3C041C" w14:textId="77777777" w:rsidTr="003F495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vAlign w:val="center"/>
          </w:tcPr>
          <w:p w14:paraId="3BE18997" w14:textId="415DE333"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11h</w:t>
            </w:r>
            <w:r w:rsidR="00176A2A">
              <w:rPr>
                <w:rFonts w:ascii="Verdana" w:hAnsi="Verdana"/>
                <w:sz w:val="18"/>
                <w:szCs w:val="18"/>
                <w:lang w:val="en-US"/>
              </w:rPr>
              <w:t>1</w:t>
            </w:r>
            <w:r w:rsidR="007A0AA2">
              <w:rPr>
                <w:rFonts w:ascii="Verdana" w:hAnsi="Verdana"/>
                <w:sz w:val="18"/>
                <w:szCs w:val="18"/>
                <w:lang w:val="en-US"/>
              </w:rPr>
              <w:t>5</w:t>
            </w:r>
          </w:p>
        </w:tc>
        <w:tc>
          <w:tcPr>
            <w:tcW w:w="8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D0476" w14:textId="49E1E76E" w:rsidR="00176A2A"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
                <w:bCs/>
                <w:sz w:val="18"/>
                <w:szCs w:val="18"/>
                <w:lang w:val="en-US"/>
              </w:rPr>
              <w:t>Introduction to Electronic Evidence: Principles and Procedures</w:t>
            </w:r>
          </w:p>
          <w:p w14:paraId="77EA86A3" w14:textId="7FD11B33" w:rsidR="00075D70"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Cs/>
                <w:sz w:val="18"/>
                <w:szCs w:val="18"/>
                <w:lang w:val="en-US"/>
              </w:rPr>
              <w:t>Council of Europe experts</w:t>
            </w:r>
          </w:p>
        </w:tc>
      </w:tr>
      <w:tr w:rsidR="00075D70" w:rsidRPr="00012FDF" w14:paraId="4F43CD80" w14:textId="77777777" w:rsidTr="003F4959">
        <w:trPr>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76B1C3" w14:textId="77777777"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13h00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8E6EF8"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Lunch</w:t>
            </w:r>
          </w:p>
        </w:tc>
      </w:tr>
      <w:tr w:rsidR="00075D70" w:rsidRPr="00012FDF" w14:paraId="732FA214" w14:textId="77777777" w:rsidTr="003F495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772F842F" w14:textId="77777777"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14h00</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142726F4" w14:textId="713EDB91" w:rsidR="00176A2A"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
                <w:bCs/>
                <w:sz w:val="18"/>
                <w:szCs w:val="18"/>
                <w:lang w:val="en-US"/>
              </w:rPr>
              <w:t>Identifying Suspects on the Internet</w:t>
            </w:r>
          </w:p>
          <w:p w14:paraId="0DFB0D08" w14:textId="3D0E1CD5" w:rsidR="00075D70"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Cs/>
                <w:sz w:val="18"/>
                <w:szCs w:val="18"/>
                <w:lang w:val="en-US"/>
              </w:rPr>
            </w:pPr>
            <w:r w:rsidRPr="00012FDF">
              <w:rPr>
                <w:rFonts w:ascii="Verdana" w:hAnsi="Verdana"/>
                <w:bCs/>
                <w:sz w:val="18"/>
                <w:szCs w:val="18"/>
                <w:lang w:val="en-US"/>
              </w:rPr>
              <w:t>Council of Europe experts</w:t>
            </w:r>
          </w:p>
        </w:tc>
      </w:tr>
      <w:tr w:rsidR="00075D70" w:rsidRPr="00012FDF" w14:paraId="33980B50" w14:textId="77777777" w:rsidTr="003F4959">
        <w:trPr>
          <w:trHeight w:val="133"/>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8217" w14:textId="18342267" w:rsidR="00075D70" w:rsidRPr="00012FDF" w:rsidRDefault="00176A2A" w:rsidP="003F4959">
            <w:pPr>
              <w:spacing w:before="60" w:after="60"/>
              <w:rPr>
                <w:rFonts w:ascii="Verdana" w:hAnsi="Verdana"/>
                <w:b/>
                <w:sz w:val="18"/>
                <w:szCs w:val="18"/>
                <w:lang w:val="en-US"/>
              </w:rPr>
            </w:pPr>
            <w:r w:rsidRPr="00012FDF">
              <w:rPr>
                <w:rFonts w:ascii="Verdana" w:hAnsi="Verdana"/>
                <w:b/>
                <w:sz w:val="18"/>
                <w:szCs w:val="18"/>
                <w:lang w:val="en-US"/>
              </w:rPr>
              <w:t>16h00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BF727E"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End of Day 1</w:t>
            </w:r>
          </w:p>
        </w:tc>
      </w:tr>
    </w:tbl>
    <w:p w14:paraId="6AF6D719" w14:textId="2D069650" w:rsidR="00075D70" w:rsidRDefault="00075D70" w:rsidP="00075D70">
      <w:pPr>
        <w:spacing w:before="60" w:after="60"/>
        <w:rPr>
          <w:rFonts w:ascii="Verdana" w:hAnsi="Verdana"/>
          <w:b/>
          <w:sz w:val="18"/>
          <w:szCs w:val="18"/>
          <w:lang w:val="en-US"/>
        </w:rPr>
      </w:pPr>
    </w:p>
    <w:tbl>
      <w:tblPr>
        <w:tblStyle w:val="MediumList2-Accent1"/>
        <w:tblW w:w="9039" w:type="dxa"/>
        <w:tblCellMar>
          <w:top w:w="28" w:type="dxa"/>
          <w:bottom w:w="28" w:type="dxa"/>
        </w:tblCellMar>
        <w:tblLook w:val="04A0" w:firstRow="1" w:lastRow="0" w:firstColumn="1" w:lastColumn="0" w:noHBand="0" w:noVBand="1"/>
      </w:tblPr>
      <w:tblGrid>
        <w:gridCol w:w="869"/>
        <w:gridCol w:w="8170"/>
      </w:tblGrid>
      <w:tr w:rsidR="00075D70" w:rsidRPr="00012FDF" w14:paraId="0C4DA8A6" w14:textId="77777777" w:rsidTr="00176A2A">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9039" w:type="dxa"/>
            <w:gridSpan w:val="2"/>
            <w:tcBorders>
              <w:bottom w:val="single" w:sz="4" w:space="0" w:color="auto"/>
            </w:tcBorders>
            <w:vAlign w:val="center"/>
          </w:tcPr>
          <w:p w14:paraId="1AA6CE86" w14:textId="25EC602A" w:rsidR="00075D70" w:rsidRPr="00012FDF" w:rsidRDefault="00075D70" w:rsidP="003F4959">
            <w:pPr>
              <w:spacing w:before="60" w:after="60"/>
              <w:rPr>
                <w:rFonts w:ascii="Verdana" w:hAnsi="Verdana"/>
                <w:b/>
                <w:sz w:val="18"/>
                <w:szCs w:val="18"/>
                <w:lang w:val="en-US"/>
              </w:rPr>
            </w:pPr>
            <w:r w:rsidRPr="00012FDF">
              <w:rPr>
                <w:rFonts w:ascii="Verdana" w:hAnsi="Verdana"/>
                <w:b/>
                <w:color w:val="2F618F"/>
                <w:sz w:val="18"/>
                <w:szCs w:val="18"/>
                <w:lang w:val="en-US"/>
              </w:rPr>
              <w:t>COURSE DAY 2</w:t>
            </w:r>
          </w:p>
        </w:tc>
      </w:tr>
      <w:tr w:rsidR="00075D70" w:rsidRPr="00012FDF" w14:paraId="1F4A4D04" w14:textId="77777777" w:rsidTr="00176A2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vAlign w:val="center"/>
          </w:tcPr>
          <w:p w14:paraId="1A4BA41A" w14:textId="77777777"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9h</w:t>
            </w:r>
            <w:r w:rsidR="007A0AA2">
              <w:rPr>
                <w:rFonts w:ascii="Verdana" w:hAnsi="Verdana"/>
                <w:sz w:val="18"/>
                <w:szCs w:val="18"/>
                <w:lang w:val="en-US"/>
              </w:rPr>
              <w:t>3</w:t>
            </w:r>
            <w:r w:rsidRPr="00012FDF">
              <w:rPr>
                <w:rFonts w:ascii="Verdana" w:hAnsi="Verdana"/>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555C6710" w14:textId="7CF469DA" w:rsidR="00176A2A" w:rsidRPr="00D82E91"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
                <w:bCs/>
                <w:sz w:val="18"/>
                <w:szCs w:val="18"/>
                <w:lang w:val="en-US"/>
              </w:rPr>
              <w:t>Evidence Sources</w:t>
            </w:r>
            <w:r w:rsidRPr="00D82E91">
              <w:rPr>
                <w:rFonts w:ascii="Verdana" w:hAnsi="Verdana"/>
                <w:b/>
                <w:bCs/>
                <w:sz w:val="18"/>
                <w:szCs w:val="18"/>
                <w:lang w:val="en-US"/>
              </w:rPr>
              <w:t>: Computer Systems/Computer Networks</w:t>
            </w:r>
          </w:p>
          <w:p w14:paraId="3FF46EC5" w14:textId="5559FDE7" w:rsidR="00075D70" w:rsidRPr="00012FDF" w:rsidRDefault="00176A2A" w:rsidP="003F495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012FDF">
              <w:rPr>
                <w:rFonts w:ascii="Verdana" w:hAnsi="Verdana"/>
                <w:bCs/>
                <w:sz w:val="18"/>
                <w:szCs w:val="18"/>
                <w:lang w:val="en-US"/>
              </w:rPr>
              <w:t>Council of Europe experts</w:t>
            </w:r>
            <w:r w:rsidRPr="00012FDF">
              <w:rPr>
                <w:rFonts w:ascii="Verdana" w:hAnsi="Verdana"/>
                <w:b/>
                <w:bCs/>
                <w:sz w:val="18"/>
                <w:szCs w:val="18"/>
                <w:lang w:val="en-US"/>
              </w:rPr>
              <w:t xml:space="preserve"> </w:t>
            </w:r>
          </w:p>
        </w:tc>
      </w:tr>
      <w:tr w:rsidR="00075D70" w:rsidRPr="00012FDF" w14:paraId="59248E92" w14:textId="77777777" w:rsidTr="003F4959">
        <w:trPr>
          <w:trHeight w:val="179"/>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8FECFB" w14:textId="037C5F20"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11h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83175F"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Coffee Break</w:t>
            </w:r>
          </w:p>
        </w:tc>
      </w:tr>
      <w:tr w:rsidR="00075D70" w:rsidRPr="00012FDF" w14:paraId="75447948" w14:textId="77777777" w:rsidTr="003F495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vAlign w:val="center"/>
          </w:tcPr>
          <w:p w14:paraId="6A7E6901" w14:textId="526996C7"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11h</w:t>
            </w:r>
            <w:r w:rsidR="00176A2A">
              <w:rPr>
                <w:rFonts w:ascii="Verdana" w:hAnsi="Verdana"/>
                <w:sz w:val="18"/>
                <w:szCs w:val="18"/>
                <w:lang w:val="en-US"/>
              </w:rPr>
              <w:t>1</w:t>
            </w:r>
            <w:r w:rsidR="007A0AA2">
              <w:rPr>
                <w:rFonts w:ascii="Verdana" w:hAnsi="Verdana"/>
                <w:sz w:val="18"/>
                <w:szCs w:val="18"/>
                <w:lang w:val="en-US"/>
              </w:rPr>
              <w:t>5</w:t>
            </w:r>
          </w:p>
        </w:tc>
        <w:tc>
          <w:tcPr>
            <w:tcW w:w="8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F2FC5" w14:textId="3807ABD4" w:rsidR="00075D70" w:rsidRPr="00D82E91" w:rsidRDefault="00075D70" w:rsidP="003F495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
                <w:bCs/>
                <w:sz w:val="18"/>
                <w:szCs w:val="18"/>
                <w:lang w:val="en-US"/>
              </w:rPr>
              <w:t>Evidence Sources</w:t>
            </w:r>
            <w:r>
              <w:rPr>
                <w:rFonts w:ascii="Verdana" w:hAnsi="Verdana"/>
                <w:b/>
                <w:bCs/>
                <w:sz w:val="18"/>
                <w:szCs w:val="18"/>
                <w:lang w:val="en-US"/>
              </w:rPr>
              <w:t>:</w:t>
            </w:r>
            <w:r w:rsidRPr="00D82E91">
              <w:rPr>
                <w:rFonts w:ascii="Verdana" w:hAnsi="Verdana"/>
                <w:b/>
                <w:bCs/>
                <w:sz w:val="18"/>
                <w:szCs w:val="18"/>
                <w:lang w:val="en-US"/>
              </w:rPr>
              <w:t xml:space="preserve"> </w:t>
            </w:r>
            <w:r w:rsidRPr="00D82E91">
              <w:rPr>
                <w:rFonts w:ascii="Verdana" w:hAnsi="Verdana"/>
                <w:b/>
                <w:sz w:val="18"/>
                <w:szCs w:val="18"/>
                <w:lang w:val="en-US"/>
              </w:rPr>
              <w:t xml:space="preserve">Authorities and Permissions, </w:t>
            </w:r>
            <w:r>
              <w:rPr>
                <w:rFonts w:ascii="Verdana" w:hAnsi="Verdana"/>
                <w:b/>
                <w:sz w:val="18"/>
                <w:szCs w:val="18"/>
                <w:lang w:val="en-US"/>
              </w:rPr>
              <w:t>P</w:t>
            </w:r>
            <w:r w:rsidRPr="00D82E91">
              <w:rPr>
                <w:rFonts w:ascii="Verdana" w:hAnsi="Verdana"/>
                <w:b/>
                <w:sz w:val="18"/>
                <w:szCs w:val="18"/>
                <w:lang w:val="en-US"/>
              </w:rPr>
              <w:t>reparations and Planning, External Consulting Witnesses</w:t>
            </w:r>
          </w:p>
          <w:p w14:paraId="26285B54" w14:textId="77777777" w:rsidR="00075D70" w:rsidRPr="00012FDF" w:rsidRDefault="00075D70" w:rsidP="003F495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012FDF">
              <w:rPr>
                <w:rFonts w:ascii="Verdana" w:hAnsi="Verdana"/>
                <w:bCs/>
                <w:sz w:val="18"/>
                <w:szCs w:val="18"/>
                <w:lang w:val="en-US"/>
              </w:rPr>
              <w:t>Council of Europe experts</w:t>
            </w:r>
          </w:p>
        </w:tc>
      </w:tr>
      <w:tr w:rsidR="00075D70" w:rsidRPr="00012FDF" w14:paraId="54E14FD3" w14:textId="77777777" w:rsidTr="003F4959">
        <w:trPr>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DC234" w14:textId="63A4F62A"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13h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403941"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Lunch</w:t>
            </w:r>
          </w:p>
        </w:tc>
      </w:tr>
      <w:tr w:rsidR="00075D70" w:rsidRPr="00012FDF" w14:paraId="64CC4101" w14:textId="77777777" w:rsidTr="003F495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62C029FE" w14:textId="5D719088"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14h</w:t>
            </w:r>
            <w:r w:rsidR="00176A2A">
              <w:rPr>
                <w:rFonts w:ascii="Verdana" w:hAnsi="Verdana"/>
                <w:sz w:val="18"/>
                <w:szCs w:val="18"/>
                <w:lang w:val="en-US"/>
              </w:rPr>
              <w:t>0</w:t>
            </w:r>
            <w:r w:rsidRPr="00012FDF">
              <w:rPr>
                <w:rFonts w:ascii="Verdana" w:hAnsi="Verdana"/>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510180B7" w14:textId="18E5E31B" w:rsidR="00176A2A"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
                <w:bCs/>
                <w:sz w:val="18"/>
                <w:szCs w:val="18"/>
                <w:lang w:val="en-US"/>
              </w:rPr>
              <w:t xml:space="preserve">Data preservation and </w:t>
            </w:r>
            <w:r w:rsidR="002A6258">
              <w:rPr>
                <w:rFonts w:ascii="Verdana" w:hAnsi="Verdana"/>
                <w:b/>
                <w:bCs/>
                <w:sz w:val="18"/>
                <w:szCs w:val="18"/>
                <w:lang w:val="en-US"/>
              </w:rPr>
              <w:t>P</w:t>
            </w:r>
            <w:r w:rsidRPr="00012FDF">
              <w:rPr>
                <w:rFonts w:ascii="Verdana" w:hAnsi="Verdana"/>
                <w:b/>
                <w:bCs/>
                <w:sz w:val="18"/>
                <w:szCs w:val="18"/>
                <w:lang w:val="en-US"/>
              </w:rPr>
              <w:t>roduction orders</w:t>
            </w:r>
          </w:p>
          <w:p w14:paraId="0A5472FE" w14:textId="41B3D72E" w:rsidR="00075D70"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n-US"/>
              </w:rPr>
            </w:pPr>
            <w:r w:rsidRPr="00012FDF">
              <w:rPr>
                <w:rFonts w:ascii="Verdana" w:hAnsi="Verdana"/>
                <w:bCs/>
                <w:sz w:val="18"/>
                <w:szCs w:val="18"/>
                <w:lang w:val="en-US"/>
              </w:rPr>
              <w:t>Council of Europe experts</w:t>
            </w:r>
          </w:p>
        </w:tc>
      </w:tr>
      <w:tr w:rsidR="00075D70" w:rsidRPr="00012FDF" w14:paraId="14D5370B" w14:textId="77777777" w:rsidTr="003F4959">
        <w:trPr>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80CBFE" w14:textId="586AC3A4"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w:t>
            </w:r>
            <w:r w:rsidR="00176A2A">
              <w:rPr>
                <w:rFonts w:ascii="Verdana" w:hAnsi="Verdana"/>
                <w:b/>
                <w:sz w:val="18"/>
                <w:szCs w:val="18"/>
                <w:lang w:val="en-US"/>
              </w:rPr>
              <w:t>6</w:t>
            </w:r>
            <w:r w:rsidRPr="00012FDF">
              <w:rPr>
                <w:rFonts w:ascii="Verdana" w:hAnsi="Verdana"/>
                <w:b/>
                <w:sz w:val="18"/>
                <w:szCs w:val="18"/>
                <w:lang w:val="en-US"/>
              </w:rPr>
              <w:t>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1E9209"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End of Day 2</w:t>
            </w:r>
          </w:p>
        </w:tc>
      </w:tr>
    </w:tbl>
    <w:p w14:paraId="5EFBB2B7" w14:textId="77777777" w:rsidR="00075D70" w:rsidRPr="00012FDF" w:rsidRDefault="00075D70" w:rsidP="00075D70">
      <w:pPr>
        <w:spacing w:before="60" w:after="60"/>
        <w:rPr>
          <w:rFonts w:ascii="Verdana" w:hAnsi="Verdana"/>
          <w:b/>
          <w:sz w:val="18"/>
          <w:szCs w:val="18"/>
          <w:lang w:val="en-US"/>
        </w:rPr>
      </w:pPr>
    </w:p>
    <w:tbl>
      <w:tblPr>
        <w:tblStyle w:val="MediumList2-Accent1"/>
        <w:tblW w:w="9039" w:type="dxa"/>
        <w:tblCellMar>
          <w:top w:w="28" w:type="dxa"/>
          <w:bottom w:w="28" w:type="dxa"/>
        </w:tblCellMar>
        <w:tblLook w:val="04A0" w:firstRow="1" w:lastRow="0" w:firstColumn="1" w:lastColumn="0" w:noHBand="0" w:noVBand="1"/>
      </w:tblPr>
      <w:tblGrid>
        <w:gridCol w:w="869"/>
        <w:gridCol w:w="8170"/>
      </w:tblGrid>
      <w:tr w:rsidR="00075D70" w:rsidRPr="00012FDF" w14:paraId="269D51AC" w14:textId="77777777" w:rsidTr="00176A2A">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9039" w:type="dxa"/>
            <w:gridSpan w:val="2"/>
            <w:tcBorders>
              <w:bottom w:val="single" w:sz="4" w:space="0" w:color="auto"/>
            </w:tcBorders>
            <w:vAlign w:val="center"/>
          </w:tcPr>
          <w:p w14:paraId="7903ECB8" w14:textId="12E0416C" w:rsidR="00075D70" w:rsidRPr="00012FDF" w:rsidRDefault="00075D70" w:rsidP="003F4959">
            <w:pPr>
              <w:spacing w:before="60" w:after="60"/>
              <w:rPr>
                <w:rFonts w:ascii="Verdana" w:hAnsi="Verdana"/>
                <w:b/>
                <w:sz w:val="18"/>
                <w:szCs w:val="18"/>
                <w:lang w:val="en-US"/>
              </w:rPr>
            </w:pPr>
            <w:r w:rsidRPr="00012FDF">
              <w:rPr>
                <w:rFonts w:ascii="Verdana" w:hAnsi="Verdana"/>
                <w:b/>
                <w:color w:val="2F618F"/>
                <w:sz w:val="18"/>
                <w:szCs w:val="18"/>
                <w:lang w:val="en-US"/>
              </w:rPr>
              <w:t>COURSE DAY 3</w:t>
            </w:r>
          </w:p>
        </w:tc>
      </w:tr>
      <w:tr w:rsidR="00075D70" w:rsidRPr="00012FDF" w14:paraId="67AB7D8E" w14:textId="77777777" w:rsidTr="003F495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7C52ECA7" w14:textId="77777777" w:rsidR="00075D70" w:rsidRPr="00012FDF" w:rsidRDefault="00075D70" w:rsidP="003F4959">
            <w:pPr>
              <w:spacing w:before="60" w:after="60"/>
              <w:rPr>
                <w:rFonts w:ascii="Verdana" w:hAnsi="Verdana"/>
                <w:b/>
                <w:sz w:val="18"/>
                <w:szCs w:val="18"/>
                <w:lang w:val="en-US"/>
              </w:rPr>
            </w:pPr>
            <w:r w:rsidRPr="00012FDF">
              <w:rPr>
                <w:rFonts w:ascii="Verdana" w:hAnsi="Verdana"/>
                <w:sz w:val="18"/>
                <w:szCs w:val="18"/>
                <w:lang w:val="en-US"/>
              </w:rPr>
              <w:t>9h</w:t>
            </w:r>
            <w:r w:rsidR="007A0AA2">
              <w:rPr>
                <w:rFonts w:ascii="Verdana" w:hAnsi="Verdana"/>
                <w:sz w:val="18"/>
                <w:szCs w:val="18"/>
                <w:lang w:val="en-US"/>
              </w:rPr>
              <w:t>3</w:t>
            </w:r>
            <w:r w:rsidRPr="00012FDF">
              <w:rPr>
                <w:rFonts w:ascii="Verdana" w:hAnsi="Verdana"/>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2C79109B" w14:textId="3DE86120" w:rsidR="00176A2A"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Cs/>
                <w:sz w:val="18"/>
                <w:szCs w:val="18"/>
                <w:lang w:val="en-US"/>
              </w:rPr>
            </w:pPr>
            <w:r w:rsidRPr="00E67670">
              <w:rPr>
                <w:rFonts w:ascii="Verdana" w:hAnsi="Verdana"/>
                <w:b/>
                <w:bCs/>
                <w:sz w:val="18"/>
                <w:szCs w:val="18"/>
                <w:lang w:val="en-US"/>
              </w:rPr>
              <w:t>Crime scene response: Securing and Documenting the Scene</w:t>
            </w:r>
            <w:r w:rsidR="002A6258">
              <w:rPr>
                <w:rFonts w:ascii="Verdana" w:hAnsi="Verdana"/>
                <w:b/>
                <w:bCs/>
                <w:sz w:val="18"/>
                <w:szCs w:val="18"/>
                <w:lang w:val="en-US"/>
              </w:rPr>
              <w:t xml:space="preserve"> and Evidence</w:t>
            </w:r>
          </w:p>
          <w:p w14:paraId="03E0F1DE" w14:textId="4764E976" w:rsidR="00075D70" w:rsidRPr="00012FDF" w:rsidRDefault="00176A2A" w:rsidP="003F495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Cs/>
                <w:sz w:val="18"/>
                <w:szCs w:val="18"/>
                <w:lang w:val="en-US"/>
              </w:rPr>
              <w:t>Council of Europe experts</w:t>
            </w:r>
            <w:r w:rsidRPr="00012FDF">
              <w:rPr>
                <w:rFonts w:ascii="Verdana" w:hAnsi="Verdana"/>
                <w:b/>
                <w:bCs/>
                <w:sz w:val="18"/>
                <w:szCs w:val="18"/>
                <w:lang w:val="en-US"/>
              </w:rPr>
              <w:t xml:space="preserve"> </w:t>
            </w:r>
          </w:p>
        </w:tc>
      </w:tr>
      <w:tr w:rsidR="00075D70" w:rsidRPr="00012FDF" w14:paraId="5BE7BFCC" w14:textId="77777777" w:rsidTr="003F4959">
        <w:trPr>
          <w:trHeight w:val="179"/>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514E14" w14:textId="037B805B"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11h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2D38C5"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Coffee Break</w:t>
            </w:r>
          </w:p>
        </w:tc>
      </w:tr>
      <w:tr w:rsidR="00075D70" w:rsidRPr="00012FDF" w14:paraId="2AAA1BEF" w14:textId="77777777" w:rsidTr="003F495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vAlign w:val="center"/>
          </w:tcPr>
          <w:p w14:paraId="64B5D3F7" w14:textId="4621D51D"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11h</w:t>
            </w:r>
            <w:r w:rsidR="00176A2A">
              <w:rPr>
                <w:rFonts w:ascii="Verdana" w:hAnsi="Verdana"/>
                <w:sz w:val="18"/>
                <w:szCs w:val="18"/>
                <w:lang w:val="en-US"/>
              </w:rPr>
              <w:t>1</w:t>
            </w:r>
            <w:r w:rsidR="007A0AA2">
              <w:rPr>
                <w:rFonts w:ascii="Verdana" w:hAnsi="Verdana"/>
                <w:sz w:val="18"/>
                <w:szCs w:val="18"/>
                <w:lang w:val="en-US"/>
              </w:rPr>
              <w:t>5</w:t>
            </w:r>
          </w:p>
        </w:tc>
        <w:tc>
          <w:tcPr>
            <w:tcW w:w="8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8B0" w14:textId="44DB38D9" w:rsidR="00176A2A" w:rsidRPr="00E67670"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E67670">
              <w:rPr>
                <w:rFonts w:ascii="Verdana" w:hAnsi="Verdana"/>
                <w:b/>
                <w:bCs/>
                <w:sz w:val="18"/>
                <w:szCs w:val="18"/>
                <w:lang w:val="en-US"/>
              </w:rPr>
              <w:t xml:space="preserve">Search and Seizure: </w:t>
            </w:r>
            <w:r w:rsidRPr="00E67670">
              <w:rPr>
                <w:rFonts w:ascii="Verdana" w:hAnsi="Verdana"/>
                <w:b/>
                <w:sz w:val="18"/>
                <w:szCs w:val="18"/>
                <w:lang w:val="en-US"/>
              </w:rPr>
              <w:t xml:space="preserve">Dead Box and Live </w:t>
            </w:r>
            <w:r w:rsidR="002A6258">
              <w:rPr>
                <w:rFonts w:ascii="Verdana" w:hAnsi="Verdana"/>
                <w:b/>
                <w:sz w:val="18"/>
                <w:szCs w:val="18"/>
                <w:lang w:val="en-US"/>
              </w:rPr>
              <w:t>D</w:t>
            </w:r>
            <w:r w:rsidRPr="00E67670">
              <w:rPr>
                <w:rFonts w:ascii="Verdana" w:hAnsi="Verdana"/>
                <w:b/>
                <w:sz w:val="18"/>
                <w:szCs w:val="18"/>
                <w:lang w:val="en-US"/>
              </w:rPr>
              <w:t>ata Scenarios</w:t>
            </w:r>
          </w:p>
          <w:p w14:paraId="25182758" w14:textId="2A291947" w:rsidR="00075D70" w:rsidRPr="00012FDF" w:rsidRDefault="00176A2A" w:rsidP="00176A2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Cs/>
                <w:sz w:val="18"/>
                <w:szCs w:val="18"/>
                <w:lang w:val="en-US"/>
              </w:rPr>
            </w:pPr>
            <w:r w:rsidRPr="00012FDF">
              <w:rPr>
                <w:rFonts w:ascii="Verdana" w:hAnsi="Verdana"/>
                <w:bCs/>
                <w:sz w:val="18"/>
                <w:szCs w:val="18"/>
                <w:lang w:val="en-US"/>
              </w:rPr>
              <w:t>Council of Europe experts</w:t>
            </w:r>
          </w:p>
        </w:tc>
      </w:tr>
      <w:tr w:rsidR="00075D70" w:rsidRPr="00012FDF" w14:paraId="1866F854" w14:textId="77777777" w:rsidTr="003F4959">
        <w:trPr>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FE65CE" w14:textId="73E817EC"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13h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9482B3" w14:textId="77777777" w:rsidR="00075D70" w:rsidRPr="00012FDF" w:rsidRDefault="00075D70"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sidRPr="00012FDF">
              <w:rPr>
                <w:rFonts w:ascii="Verdana" w:hAnsi="Verdana"/>
                <w:b/>
                <w:i/>
                <w:sz w:val="18"/>
                <w:szCs w:val="18"/>
                <w:lang w:val="en-US"/>
              </w:rPr>
              <w:t>Lunch</w:t>
            </w:r>
          </w:p>
        </w:tc>
      </w:tr>
      <w:tr w:rsidR="00075D70" w:rsidRPr="00012FDF" w14:paraId="165E20FE" w14:textId="77777777" w:rsidTr="003F495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41516630" w14:textId="77777777" w:rsidR="00075D70" w:rsidRPr="00012FDF" w:rsidRDefault="00075D70" w:rsidP="003F4959">
            <w:pPr>
              <w:spacing w:before="60" w:after="60"/>
              <w:rPr>
                <w:rFonts w:ascii="Verdana" w:hAnsi="Verdana"/>
                <w:sz w:val="18"/>
                <w:szCs w:val="18"/>
                <w:lang w:val="en-US"/>
              </w:rPr>
            </w:pPr>
            <w:r w:rsidRPr="00012FDF">
              <w:rPr>
                <w:rFonts w:ascii="Verdana" w:hAnsi="Verdana"/>
                <w:sz w:val="18"/>
                <w:szCs w:val="18"/>
                <w:lang w:val="en-US"/>
              </w:rPr>
              <w:t>14h00</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12AE67F6" w14:textId="0CE4FE7B" w:rsidR="00075D70" w:rsidRDefault="002A6258" w:rsidP="003F495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Pr>
                <w:rFonts w:ascii="Verdana" w:hAnsi="Verdana"/>
                <w:b/>
                <w:bCs/>
                <w:sz w:val="18"/>
                <w:szCs w:val="18"/>
                <w:lang w:val="en-US"/>
              </w:rPr>
              <w:t>International and Public-private Cooperation: Access to data</w:t>
            </w:r>
          </w:p>
          <w:p w14:paraId="65FC2D2E" w14:textId="47D7007D" w:rsidR="00176A2A" w:rsidRPr="00176A2A" w:rsidRDefault="00176A2A" w:rsidP="003F495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lang w:val="en-US"/>
              </w:rPr>
            </w:pPr>
            <w:r w:rsidRPr="00012FDF">
              <w:rPr>
                <w:rFonts w:ascii="Verdana" w:hAnsi="Verdana"/>
                <w:bCs/>
                <w:sz w:val="18"/>
                <w:szCs w:val="18"/>
                <w:lang w:val="en-US"/>
              </w:rPr>
              <w:t>Council of Europe experts</w:t>
            </w:r>
          </w:p>
        </w:tc>
      </w:tr>
      <w:tr w:rsidR="00075D70" w:rsidRPr="00012FDF" w14:paraId="6D3052E6" w14:textId="77777777" w:rsidTr="003F4959">
        <w:trPr>
          <w:trHeight w:val="179"/>
        </w:trPr>
        <w:tc>
          <w:tcPr>
            <w:cnfStyle w:val="001000000000" w:firstRow="0" w:lastRow="0" w:firstColumn="1" w:lastColumn="0" w:oddVBand="0" w:evenVBand="0" w:oddHBand="0" w:evenHBand="0" w:firstRowFirstColumn="0" w:firstRowLastColumn="0" w:lastRowFirstColumn="0" w:lastRowLastColumn="0"/>
            <w:tcW w:w="8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247D9A" w14:textId="081FFAEC" w:rsidR="00075D70" w:rsidRPr="00012FDF" w:rsidRDefault="00075D70" w:rsidP="003F4959">
            <w:pPr>
              <w:spacing w:before="60" w:after="60"/>
              <w:rPr>
                <w:rFonts w:ascii="Verdana" w:hAnsi="Verdana"/>
                <w:b/>
                <w:sz w:val="18"/>
                <w:szCs w:val="18"/>
                <w:lang w:val="en-US"/>
              </w:rPr>
            </w:pPr>
            <w:r w:rsidRPr="00012FDF">
              <w:rPr>
                <w:rFonts w:ascii="Verdana" w:hAnsi="Verdana"/>
                <w:b/>
                <w:sz w:val="18"/>
                <w:szCs w:val="18"/>
                <w:lang w:val="en-US"/>
              </w:rPr>
              <w:t>1</w:t>
            </w:r>
            <w:r w:rsidR="00176A2A">
              <w:rPr>
                <w:rFonts w:ascii="Verdana" w:hAnsi="Verdana"/>
                <w:b/>
                <w:sz w:val="18"/>
                <w:szCs w:val="18"/>
                <w:lang w:val="en-US"/>
              </w:rPr>
              <w:t>6</w:t>
            </w:r>
            <w:r w:rsidRPr="00012FDF">
              <w:rPr>
                <w:rFonts w:ascii="Verdana" w:hAnsi="Verdana"/>
                <w:b/>
                <w:sz w:val="18"/>
                <w:szCs w:val="18"/>
                <w:lang w:val="en-US"/>
              </w:rPr>
              <w:t>h</w:t>
            </w:r>
            <w:r w:rsidR="00176A2A">
              <w:rPr>
                <w:rFonts w:ascii="Verdana" w:hAnsi="Verdana"/>
                <w:b/>
                <w:sz w:val="18"/>
                <w:szCs w:val="18"/>
                <w:lang w:val="en-US"/>
              </w:rPr>
              <w:t>0</w:t>
            </w:r>
            <w:r w:rsidRPr="00012FDF">
              <w:rPr>
                <w:rFonts w:ascii="Verdana" w:hAnsi="Verdana"/>
                <w:b/>
                <w:sz w:val="18"/>
                <w:szCs w:val="18"/>
                <w:lang w:val="en-US"/>
              </w:rPr>
              <w:t>0</w:t>
            </w:r>
          </w:p>
        </w:tc>
        <w:tc>
          <w:tcPr>
            <w:tcW w:w="81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F341CD" w14:textId="3FCEAB92" w:rsidR="00075D70" w:rsidRPr="00012FDF" w:rsidRDefault="002A6258" w:rsidP="003F495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b/>
                <w:i/>
                <w:sz w:val="18"/>
                <w:szCs w:val="18"/>
                <w:lang w:val="en-US"/>
              </w:rPr>
            </w:pPr>
            <w:r>
              <w:rPr>
                <w:rFonts w:ascii="Verdana" w:hAnsi="Verdana"/>
                <w:b/>
                <w:i/>
                <w:sz w:val="18"/>
                <w:szCs w:val="18"/>
                <w:lang w:val="en-US"/>
              </w:rPr>
              <w:t>End of event</w:t>
            </w:r>
          </w:p>
        </w:tc>
      </w:tr>
    </w:tbl>
    <w:p w14:paraId="60532E80" w14:textId="74997579" w:rsidR="00075D70" w:rsidRDefault="00075D70" w:rsidP="00075D70">
      <w:pPr>
        <w:spacing w:before="60" w:after="60"/>
        <w:rPr>
          <w:rFonts w:ascii="Verdana" w:hAnsi="Verdana"/>
          <w:b/>
          <w:sz w:val="18"/>
          <w:szCs w:val="18"/>
          <w:lang w:val="en-US"/>
        </w:rPr>
      </w:pPr>
    </w:p>
    <w:p w14:paraId="57C1DE4F" w14:textId="77777777" w:rsidR="00075D70" w:rsidRPr="00012FDF" w:rsidRDefault="00075D70" w:rsidP="00075D70">
      <w:pPr>
        <w:rPr>
          <w:rFonts w:ascii="Verdana" w:hAnsi="Verdana"/>
          <w:sz w:val="18"/>
          <w:szCs w:val="18"/>
        </w:rPr>
      </w:pPr>
    </w:p>
    <w:p w14:paraId="5BFE7965" w14:textId="77777777" w:rsidR="00176A2A" w:rsidRPr="00A93608" w:rsidRDefault="00176A2A" w:rsidP="00176A2A">
      <w:pPr>
        <w:keepNext/>
        <w:keepLines/>
        <w:spacing w:before="120" w:after="120" w:line="276" w:lineRule="auto"/>
        <w:jc w:val="both"/>
        <w:outlineLvl w:val="0"/>
        <w:rPr>
          <w:rFonts w:ascii="Verdana" w:eastAsiaTheme="majorEastAsia" w:hAnsi="Verdana" w:cstheme="majorBidi"/>
          <w:b/>
          <w:bCs/>
          <w:color w:val="2F618F"/>
          <w:sz w:val="22"/>
          <w:szCs w:val="28"/>
          <w:lang w:val="en-GB" w:eastAsia="en-US"/>
        </w:rPr>
      </w:pPr>
      <w:r w:rsidRPr="00A93608">
        <w:rPr>
          <w:rFonts w:ascii="Verdana" w:eastAsiaTheme="majorEastAsia" w:hAnsi="Verdana" w:cstheme="majorBidi"/>
          <w:b/>
          <w:bCs/>
          <w:color w:val="2F618F"/>
          <w:sz w:val="22"/>
          <w:szCs w:val="28"/>
          <w:lang w:val="en-GB" w:eastAsia="en-US"/>
        </w:rPr>
        <w:lastRenderedPageBreak/>
        <w:t>Contacts</w:t>
      </w:r>
    </w:p>
    <w:tbl>
      <w:tblPr>
        <w:tblStyle w:val="TableGrid1"/>
        <w:tblW w:w="12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090"/>
        <w:gridCol w:w="4090"/>
      </w:tblGrid>
      <w:tr w:rsidR="00176A2A" w:rsidRPr="00A93608" w14:paraId="569C528F" w14:textId="77777777" w:rsidTr="000026A1">
        <w:trPr>
          <w:trHeight w:val="3681"/>
        </w:trPr>
        <w:tc>
          <w:tcPr>
            <w:tcW w:w="4660" w:type="dxa"/>
          </w:tcPr>
          <w:p w14:paraId="4C83FD98" w14:textId="77777777" w:rsidR="00176A2A" w:rsidRPr="00A93608" w:rsidRDefault="00176A2A" w:rsidP="000026A1">
            <w:pPr>
              <w:rPr>
                <w:rFonts w:ascii="Verdana" w:hAnsi="Verdana"/>
                <w:b/>
                <w:snapToGrid w:val="0"/>
                <w:sz w:val="18"/>
                <w:szCs w:val="17"/>
                <w:lang w:val="en-GB" w:eastAsia="en-GB"/>
              </w:rPr>
            </w:pPr>
            <w:r w:rsidRPr="00A93608">
              <w:rPr>
                <w:rFonts w:ascii="Verdana" w:hAnsi="Verdana"/>
                <w:b/>
                <w:snapToGrid w:val="0"/>
                <w:sz w:val="18"/>
                <w:szCs w:val="17"/>
                <w:lang w:val="en-GB" w:eastAsia="en-GB"/>
              </w:rPr>
              <w:t>European Commission:</w:t>
            </w:r>
          </w:p>
          <w:p w14:paraId="7EA48B41" w14:textId="77777777" w:rsidR="00176A2A" w:rsidRPr="00A93608" w:rsidRDefault="00176A2A" w:rsidP="000026A1">
            <w:pPr>
              <w:rPr>
                <w:rFonts w:ascii="Verdana" w:hAnsi="Verdana"/>
                <w:b/>
                <w:snapToGrid w:val="0"/>
                <w:sz w:val="18"/>
                <w:szCs w:val="17"/>
                <w:lang w:val="en-GB" w:eastAsia="en-GB"/>
              </w:rPr>
            </w:pPr>
          </w:p>
          <w:p w14:paraId="097F310E" w14:textId="77777777" w:rsidR="00176A2A" w:rsidRPr="00A93608" w:rsidRDefault="00176A2A" w:rsidP="000026A1">
            <w:pPr>
              <w:rPr>
                <w:rFonts w:ascii="Verdana" w:hAnsi="Verdana"/>
                <w:b/>
                <w:snapToGrid w:val="0"/>
                <w:sz w:val="18"/>
                <w:szCs w:val="17"/>
                <w:lang w:val="en-GB" w:eastAsia="en-GB"/>
              </w:rPr>
            </w:pPr>
            <w:r w:rsidRPr="00A93608">
              <w:rPr>
                <w:rFonts w:ascii="Verdana" w:hAnsi="Verdana"/>
                <w:snapToGrid w:val="0"/>
                <w:sz w:val="18"/>
                <w:szCs w:val="17"/>
                <w:lang w:val="en-GB" w:eastAsia="en-GB"/>
              </w:rPr>
              <w:t>Roberto SEGUNDO NAVARRO</w:t>
            </w:r>
          </w:p>
          <w:p w14:paraId="6F89A40D" w14:textId="77777777" w:rsidR="00176A2A" w:rsidRPr="00A93608" w:rsidRDefault="00176A2A" w:rsidP="000026A1">
            <w:pPr>
              <w:rPr>
                <w:rFonts w:ascii="Verdana" w:hAnsi="Verdana"/>
                <w:snapToGrid w:val="0"/>
                <w:sz w:val="18"/>
                <w:szCs w:val="17"/>
                <w:lang w:val="en-GB" w:eastAsia="en-GB"/>
              </w:rPr>
            </w:pPr>
            <w:r w:rsidRPr="00A93608">
              <w:rPr>
                <w:rFonts w:ascii="Verdana" w:hAnsi="Verdana"/>
                <w:snapToGrid w:val="0"/>
                <w:sz w:val="18"/>
                <w:szCs w:val="17"/>
                <w:lang w:val="en-GB" w:eastAsia="en-GB"/>
              </w:rPr>
              <w:t>Good Governance and Security</w:t>
            </w:r>
          </w:p>
          <w:p w14:paraId="0E6768E2" w14:textId="77777777" w:rsidR="00176A2A" w:rsidRPr="00A93608" w:rsidRDefault="00176A2A" w:rsidP="000026A1">
            <w:pPr>
              <w:rPr>
                <w:rFonts w:ascii="Verdana" w:hAnsi="Verdana"/>
                <w:snapToGrid w:val="0"/>
                <w:sz w:val="18"/>
                <w:szCs w:val="17"/>
                <w:lang w:val="en-GB" w:eastAsia="en-GB"/>
              </w:rPr>
            </w:pPr>
            <w:r w:rsidRPr="00A93608">
              <w:rPr>
                <w:rFonts w:ascii="Verdana" w:hAnsi="Verdana"/>
                <w:snapToGrid w:val="0"/>
                <w:sz w:val="18"/>
                <w:szCs w:val="17"/>
                <w:lang w:val="en-GB" w:eastAsia="en-GB"/>
              </w:rPr>
              <w:t xml:space="preserve">Directorate-General for Neighbourhood and Enlargement Negotiations (DG NEAR) </w:t>
            </w:r>
          </w:p>
          <w:p w14:paraId="302F57C8" w14:textId="77777777" w:rsidR="00176A2A" w:rsidRPr="00A93608" w:rsidRDefault="00176A2A" w:rsidP="000026A1">
            <w:pPr>
              <w:rPr>
                <w:rFonts w:ascii="Verdana" w:hAnsi="Verdana"/>
                <w:snapToGrid w:val="0"/>
                <w:color w:val="0000FF" w:themeColor="hyperlink"/>
                <w:sz w:val="18"/>
                <w:szCs w:val="17"/>
                <w:u w:val="single"/>
                <w:lang w:val="en-GB" w:eastAsia="en-GB"/>
              </w:rPr>
            </w:pPr>
            <w:r w:rsidRPr="00A93608">
              <w:rPr>
                <w:rFonts w:ascii="Verdana" w:hAnsi="Verdana"/>
                <w:snapToGrid w:val="0"/>
                <w:sz w:val="18"/>
                <w:szCs w:val="17"/>
                <w:lang w:val="en-GB" w:eastAsia="en-GB"/>
              </w:rPr>
              <w:t>Directorate Neighbourhood East – Unit C1</w:t>
            </w:r>
            <w:r w:rsidRPr="00A93608">
              <w:rPr>
                <w:rFonts w:ascii="Verdana" w:hAnsi="Verdana"/>
                <w:snapToGrid w:val="0"/>
                <w:color w:val="0000FF" w:themeColor="hyperlink"/>
                <w:sz w:val="18"/>
                <w:szCs w:val="17"/>
                <w:u w:val="single"/>
                <w:lang w:val="en-GB" w:eastAsia="en-GB"/>
              </w:rPr>
              <w:t xml:space="preserve"> </w:t>
            </w:r>
          </w:p>
          <w:p w14:paraId="2347578B" w14:textId="77777777" w:rsidR="00176A2A" w:rsidRPr="00A93608" w:rsidRDefault="00176A2A" w:rsidP="000026A1">
            <w:pPr>
              <w:rPr>
                <w:rFonts w:ascii="Verdana" w:hAnsi="Verdana"/>
                <w:snapToGrid w:val="0"/>
                <w:sz w:val="18"/>
                <w:szCs w:val="17"/>
                <w:lang w:val="en-GB" w:eastAsia="en-GB"/>
              </w:rPr>
            </w:pPr>
            <w:r w:rsidRPr="00A93608">
              <w:rPr>
                <w:rFonts w:ascii="Verdana" w:hAnsi="Verdana"/>
                <w:snapToGrid w:val="0"/>
                <w:sz w:val="18"/>
                <w:szCs w:val="17"/>
                <w:lang w:val="en-GB" w:eastAsia="en-GB"/>
              </w:rPr>
              <w:t>European Commission</w:t>
            </w:r>
          </w:p>
          <w:p w14:paraId="02F638B5" w14:textId="77777777" w:rsidR="00176A2A" w:rsidRPr="00A93608" w:rsidRDefault="00176A2A" w:rsidP="000026A1">
            <w:pPr>
              <w:rPr>
                <w:rFonts w:ascii="Verdana" w:hAnsi="Verdana"/>
                <w:snapToGrid w:val="0"/>
                <w:color w:val="0000FF" w:themeColor="hyperlink"/>
                <w:sz w:val="18"/>
                <w:szCs w:val="17"/>
                <w:u w:val="single"/>
                <w:lang w:val="en-GB" w:eastAsia="en-GB"/>
              </w:rPr>
            </w:pPr>
            <w:hyperlink r:id="rId8" w:history="1">
              <w:r w:rsidRPr="00A93608">
                <w:rPr>
                  <w:rFonts w:ascii="Verdana" w:hAnsi="Verdana"/>
                  <w:snapToGrid w:val="0"/>
                  <w:color w:val="0000FF" w:themeColor="hyperlink"/>
                  <w:sz w:val="18"/>
                  <w:szCs w:val="17"/>
                  <w:u w:val="single"/>
                  <w:lang w:val="en-GB" w:eastAsia="en-GB"/>
                </w:rPr>
                <w:t>ec.europa.eu</w:t>
              </w:r>
            </w:hyperlink>
          </w:p>
          <w:p w14:paraId="3AEA16A0" w14:textId="77777777" w:rsidR="00176A2A" w:rsidRPr="00A93608" w:rsidRDefault="00176A2A" w:rsidP="000026A1">
            <w:pPr>
              <w:rPr>
                <w:rFonts w:ascii="Verdana" w:hAnsi="Verdana"/>
                <w:b/>
                <w:snapToGrid w:val="0"/>
                <w:sz w:val="18"/>
                <w:szCs w:val="17"/>
                <w:lang w:val="en-GB" w:eastAsia="en-GB"/>
              </w:rPr>
            </w:pPr>
          </w:p>
          <w:p w14:paraId="4172CBAC" w14:textId="77777777" w:rsidR="00176A2A" w:rsidRPr="00A93608" w:rsidRDefault="00176A2A" w:rsidP="000026A1">
            <w:pPr>
              <w:rPr>
                <w:rFonts w:ascii="Verdana" w:hAnsi="Verdana"/>
                <w:sz w:val="18"/>
                <w:szCs w:val="17"/>
                <w:lang w:val="en-GB" w:eastAsia="en-GB"/>
              </w:rPr>
            </w:pPr>
          </w:p>
        </w:tc>
        <w:tc>
          <w:tcPr>
            <w:tcW w:w="4090" w:type="dxa"/>
          </w:tcPr>
          <w:p w14:paraId="6BFC6444" w14:textId="77777777" w:rsidR="00176A2A" w:rsidRPr="00A93608" w:rsidRDefault="00176A2A" w:rsidP="000026A1">
            <w:pPr>
              <w:rPr>
                <w:rFonts w:ascii="Verdana" w:hAnsi="Verdana"/>
                <w:b/>
                <w:snapToGrid w:val="0"/>
                <w:sz w:val="18"/>
                <w:szCs w:val="17"/>
                <w:lang w:val="en-GB" w:eastAsia="en-GB"/>
              </w:rPr>
            </w:pPr>
            <w:r w:rsidRPr="00A93608">
              <w:rPr>
                <w:rFonts w:ascii="Verdana" w:hAnsi="Verdana"/>
                <w:b/>
                <w:snapToGrid w:val="0"/>
                <w:sz w:val="18"/>
                <w:szCs w:val="17"/>
                <w:lang w:val="en-GB" w:eastAsia="en-GB"/>
              </w:rPr>
              <w:t>Council of Europe:</w:t>
            </w:r>
          </w:p>
          <w:p w14:paraId="4C9F7C4A" w14:textId="77777777" w:rsidR="00176A2A" w:rsidRPr="00A93608" w:rsidRDefault="00176A2A" w:rsidP="000026A1">
            <w:pPr>
              <w:rPr>
                <w:rFonts w:ascii="Verdana" w:hAnsi="Verdana"/>
                <w:snapToGrid w:val="0"/>
                <w:sz w:val="18"/>
                <w:szCs w:val="17"/>
                <w:lang w:val="en-GB" w:eastAsia="en-GB"/>
              </w:rPr>
            </w:pPr>
          </w:p>
          <w:p w14:paraId="1D6FF8D4" w14:textId="77777777" w:rsidR="00176A2A" w:rsidRPr="00A93608" w:rsidRDefault="00176A2A" w:rsidP="000026A1">
            <w:pPr>
              <w:rPr>
                <w:rFonts w:ascii="Verdana" w:hAnsi="Verdana"/>
                <w:snapToGrid w:val="0"/>
                <w:sz w:val="18"/>
                <w:szCs w:val="17"/>
                <w:lang w:val="en-GB" w:eastAsia="en-GB"/>
              </w:rPr>
            </w:pPr>
            <w:r w:rsidRPr="00A93608">
              <w:rPr>
                <w:rFonts w:ascii="Verdana" w:hAnsi="Verdana"/>
                <w:snapToGrid w:val="0"/>
                <w:sz w:val="18"/>
                <w:szCs w:val="17"/>
                <w:lang w:val="en-GB" w:eastAsia="en-GB"/>
              </w:rPr>
              <w:t xml:space="preserve">Giorgi JOKHADZE </w:t>
            </w:r>
          </w:p>
          <w:p w14:paraId="6BA99D9A" w14:textId="77777777" w:rsidR="00176A2A" w:rsidRPr="00A93608" w:rsidRDefault="00176A2A" w:rsidP="000026A1">
            <w:pPr>
              <w:rPr>
                <w:rFonts w:ascii="Verdana" w:hAnsi="Verdana"/>
                <w:snapToGrid w:val="0"/>
                <w:sz w:val="18"/>
                <w:szCs w:val="17"/>
                <w:lang w:val="en-GB" w:eastAsia="en-GB"/>
              </w:rPr>
            </w:pPr>
            <w:r w:rsidRPr="00A93608">
              <w:rPr>
                <w:rFonts w:ascii="Verdana" w:hAnsi="Verdana"/>
                <w:snapToGrid w:val="0"/>
                <w:sz w:val="18"/>
                <w:szCs w:val="17"/>
                <w:lang w:val="en-GB" w:eastAsia="en-GB"/>
              </w:rPr>
              <w:t>CyberEast Project Manager</w:t>
            </w:r>
          </w:p>
          <w:p w14:paraId="65100CD0" w14:textId="77777777" w:rsidR="00176A2A" w:rsidRPr="00A93608" w:rsidRDefault="00176A2A" w:rsidP="000026A1">
            <w:pPr>
              <w:rPr>
                <w:rFonts w:ascii="Verdana" w:hAnsi="Verdana"/>
                <w:snapToGrid w:val="0"/>
                <w:sz w:val="18"/>
                <w:szCs w:val="17"/>
                <w:lang w:val="fr-FR" w:eastAsia="en-GB"/>
              </w:rPr>
            </w:pPr>
            <w:r w:rsidRPr="00A93608">
              <w:rPr>
                <w:rFonts w:ascii="Verdana" w:hAnsi="Verdana"/>
                <w:snapToGrid w:val="0"/>
                <w:sz w:val="18"/>
                <w:szCs w:val="17"/>
                <w:lang w:val="fr-FR" w:eastAsia="en-GB"/>
              </w:rPr>
              <w:t>Cybercrime Programme Office</w:t>
            </w:r>
          </w:p>
          <w:p w14:paraId="33C868BF" w14:textId="77777777" w:rsidR="00176A2A" w:rsidRPr="00A93608" w:rsidRDefault="00176A2A" w:rsidP="000026A1">
            <w:pPr>
              <w:rPr>
                <w:rFonts w:ascii="Verdana" w:hAnsi="Verdana"/>
                <w:sz w:val="18"/>
                <w:szCs w:val="17"/>
                <w:lang w:val="fr-FR" w:eastAsia="en-GB"/>
              </w:rPr>
            </w:pPr>
            <w:r w:rsidRPr="00A93608">
              <w:rPr>
                <w:rFonts w:ascii="Verdana" w:hAnsi="Verdana"/>
                <w:sz w:val="18"/>
                <w:szCs w:val="17"/>
                <w:lang w:val="fr-FR" w:eastAsia="en-GB"/>
              </w:rPr>
              <w:t>Tel: +40-21-201-784</w:t>
            </w:r>
          </w:p>
          <w:p w14:paraId="2A67316B" w14:textId="77777777" w:rsidR="00176A2A" w:rsidRPr="00A93608" w:rsidRDefault="00176A2A" w:rsidP="000026A1">
            <w:pPr>
              <w:rPr>
                <w:rFonts w:ascii="Verdana" w:hAnsi="Verdana"/>
                <w:snapToGrid w:val="0"/>
                <w:color w:val="0000FF" w:themeColor="hyperlink"/>
                <w:sz w:val="18"/>
                <w:szCs w:val="17"/>
                <w:u w:val="single"/>
                <w:lang w:val="fr-FR" w:eastAsia="en-GB"/>
              </w:rPr>
            </w:pPr>
            <w:hyperlink r:id="rId9" w:history="1">
              <w:r w:rsidRPr="00A93608">
                <w:rPr>
                  <w:rFonts w:ascii="Verdana" w:hAnsi="Verdana"/>
                  <w:snapToGrid w:val="0"/>
                  <w:color w:val="0000FF" w:themeColor="hyperlink"/>
                  <w:sz w:val="18"/>
                  <w:szCs w:val="17"/>
                  <w:u w:val="single"/>
                  <w:lang w:val="fr-FR" w:eastAsia="en-GB"/>
                </w:rPr>
                <w:t>Giorgi.Jokhadze@coe.int</w:t>
              </w:r>
            </w:hyperlink>
          </w:p>
          <w:p w14:paraId="53DF9B07" w14:textId="77777777" w:rsidR="00176A2A" w:rsidRPr="00A93608" w:rsidRDefault="00176A2A" w:rsidP="000026A1">
            <w:pPr>
              <w:rPr>
                <w:rFonts w:ascii="Verdana" w:hAnsi="Verdana"/>
                <w:snapToGrid w:val="0"/>
                <w:color w:val="0000FF" w:themeColor="hyperlink"/>
                <w:sz w:val="18"/>
                <w:szCs w:val="17"/>
                <w:u w:val="single"/>
                <w:lang w:val="fr-FR" w:eastAsia="en-GB"/>
              </w:rPr>
            </w:pPr>
          </w:p>
          <w:p w14:paraId="444B4E7C" w14:textId="77777777" w:rsidR="00176A2A" w:rsidRPr="00A93608" w:rsidRDefault="00176A2A" w:rsidP="000026A1">
            <w:pPr>
              <w:rPr>
                <w:rFonts w:ascii="Verdana" w:hAnsi="Verdana" w:cs="Calibri"/>
                <w:color w:val="000000"/>
                <w:sz w:val="18"/>
                <w:szCs w:val="17"/>
                <w:lang w:val="en-GB" w:eastAsia="en-GB"/>
              </w:rPr>
            </w:pPr>
            <w:r w:rsidRPr="00A93608">
              <w:rPr>
                <w:rFonts w:ascii="Verdana" w:hAnsi="Verdana"/>
                <w:snapToGrid w:val="0"/>
                <w:sz w:val="18"/>
                <w:szCs w:val="17"/>
                <w:lang w:val="en-GB" w:eastAsia="en-GB"/>
              </w:rPr>
              <w:t xml:space="preserve">Cybercrime Programme Office of the </w:t>
            </w:r>
          </w:p>
          <w:p w14:paraId="180EB6F4" w14:textId="77777777" w:rsidR="00176A2A" w:rsidRPr="00A93608" w:rsidRDefault="00176A2A" w:rsidP="000026A1">
            <w:pPr>
              <w:rPr>
                <w:rFonts w:ascii="Verdana" w:hAnsi="Verdana"/>
                <w:snapToGrid w:val="0"/>
                <w:sz w:val="18"/>
                <w:szCs w:val="17"/>
                <w:lang w:val="en-GB" w:eastAsia="en-GB"/>
              </w:rPr>
            </w:pPr>
            <w:r w:rsidRPr="00A93608">
              <w:rPr>
                <w:rFonts w:ascii="Verdana" w:hAnsi="Verdana"/>
                <w:snapToGrid w:val="0"/>
                <w:sz w:val="18"/>
                <w:szCs w:val="17"/>
                <w:lang w:val="en-GB" w:eastAsia="en-GB"/>
              </w:rPr>
              <w:t>Council of Europe (C-PROC)</w:t>
            </w:r>
          </w:p>
          <w:p w14:paraId="078D6232" w14:textId="77777777" w:rsidR="00176A2A" w:rsidRPr="00A93608" w:rsidRDefault="00176A2A" w:rsidP="000026A1">
            <w:pPr>
              <w:rPr>
                <w:rFonts w:ascii="Verdana" w:hAnsi="Verdana"/>
                <w:snapToGrid w:val="0"/>
                <w:sz w:val="18"/>
                <w:szCs w:val="17"/>
                <w:lang w:val="pl-PL" w:eastAsia="en-GB"/>
              </w:rPr>
            </w:pPr>
            <w:r w:rsidRPr="00A93608">
              <w:rPr>
                <w:rFonts w:ascii="Verdana" w:hAnsi="Verdana"/>
                <w:snapToGrid w:val="0"/>
                <w:sz w:val="18"/>
                <w:szCs w:val="17"/>
                <w:lang w:val="pl-PL" w:eastAsia="en-GB"/>
              </w:rPr>
              <w:t>Bucharest, Romania</w:t>
            </w:r>
          </w:p>
          <w:p w14:paraId="55FCCA71" w14:textId="77777777" w:rsidR="00176A2A" w:rsidRPr="00A93608" w:rsidRDefault="00176A2A" w:rsidP="000026A1">
            <w:pPr>
              <w:rPr>
                <w:rFonts w:ascii="Verdana" w:hAnsi="Verdana"/>
                <w:snapToGrid w:val="0"/>
                <w:sz w:val="18"/>
                <w:szCs w:val="17"/>
                <w:lang w:val="pl-PL" w:eastAsia="en-GB"/>
              </w:rPr>
            </w:pPr>
            <w:hyperlink r:id="rId10" w:history="1">
              <w:r w:rsidRPr="00A93608">
                <w:rPr>
                  <w:rFonts w:ascii="Verdana" w:hAnsi="Verdana"/>
                  <w:snapToGrid w:val="0"/>
                  <w:color w:val="0000FF" w:themeColor="hyperlink"/>
                  <w:sz w:val="18"/>
                  <w:szCs w:val="17"/>
                  <w:u w:val="single"/>
                  <w:lang w:val="pl-PL" w:eastAsia="en-GB"/>
                </w:rPr>
                <w:t>www.coe.int/cybercrime</w:t>
              </w:r>
            </w:hyperlink>
          </w:p>
        </w:tc>
        <w:tc>
          <w:tcPr>
            <w:tcW w:w="4090" w:type="dxa"/>
          </w:tcPr>
          <w:p w14:paraId="5DEF2651" w14:textId="77777777" w:rsidR="00176A2A" w:rsidRPr="00A93608" w:rsidRDefault="00176A2A" w:rsidP="000026A1">
            <w:pPr>
              <w:rPr>
                <w:rFonts w:ascii="Verdana" w:hAnsi="Verdana"/>
                <w:b/>
                <w:snapToGrid w:val="0"/>
                <w:sz w:val="18"/>
                <w:szCs w:val="17"/>
                <w:lang w:val="pl-PL" w:eastAsia="en-GB"/>
              </w:rPr>
            </w:pPr>
          </w:p>
          <w:p w14:paraId="3A9DE664" w14:textId="77777777" w:rsidR="00176A2A" w:rsidRPr="00A93608" w:rsidRDefault="00176A2A" w:rsidP="000026A1">
            <w:pPr>
              <w:rPr>
                <w:rFonts w:ascii="Verdana" w:hAnsi="Verdana"/>
                <w:snapToGrid w:val="0"/>
                <w:sz w:val="18"/>
                <w:szCs w:val="17"/>
                <w:lang w:val="pl-PL" w:eastAsia="en-GB"/>
              </w:rPr>
            </w:pPr>
            <w:r w:rsidRPr="00A93608">
              <w:rPr>
                <w:rFonts w:ascii="Verdana" w:hAnsi="Verdana"/>
                <w:sz w:val="18"/>
                <w:szCs w:val="17"/>
                <w:lang w:val="pl-PL" w:eastAsia="en-GB"/>
              </w:rPr>
              <w:t xml:space="preserve"> </w:t>
            </w:r>
          </w:p>
        </w:tc>
      </w:tr>
    </w:tbl>
    <w:p w14:paraId="437A6CDE" w14:textId="1A0564F3" w:rsidR="008E55A4" w:rsidRPr="00EF21F2" w:rsidRDefault="008E55A4">
      <w:pPr>
        <w:rPr>
          <w:rFonts w:ascii="Verdana" w:hAnsi="Verdana"/>
          <w:sz w:val="20"/>
          <w:szCs w:val="20"/>
          <w:lang w:val="en-US"/>
        </w:rPr>
      </w:pPr>
    </w:p>
    <w:sectPr w:rsidR="008E55A4" w:rsidRPr="00EF21F2" w:rsidSect="00176A2A">
      <w:headerReference w:type="default" r:id="rId11"/>
      <w:footerReference w:type="default" r:id="rId12"/>
      <w:headerReference w:type="first" r:id="rId13"/>
      <w:pgSz w:w="12240" w:h="15840"/>
      <w:pgMar w:top="284" w:right="1440" w:bottom="568" w:left="1440" w:header="720" w:footer="1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68BBB" w14:textId="77777777" w:rsidR="00E84C10" w:rsidRDefault="00E84C10">
      <w:r>
        <w:separator/>
      </w:r>
    </w:p>
  </w:endnote>
  <w:endnote w:type="continuationSeparator" w:id="0">
    <w:p w14:paraId="710C1BD7" w14:textId="77777777" w:rsidR="00E84C10" w:rsidRDefault="00E8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9475"/>
      <w:docPartObj>
        <w:docPartGallery w:val="Page Numbers (Bottom of Page)"/>
        <w:docPartUnique/>
      </w:docPartObj>
    </w:sdtPr>
    <w:sdtEndPr>
      <w:rPr>
        <w:noProof/>
      </w:rPr>
    </w:sdtEndPr>
    <w:sdtContent>
      <w:p w14:paraId="63DDECF1" w14:textId="77777777" w:rsidR="00A60D95" w:rsidRDefault="00696C24">
        <w:pPr>
          <w:pStyle w:val="Footer"/>
          <w:jc w:val="center"/>
        </w:pPr>
        <w:r>
          <w:fldChar w:fldCharType="begin"/>
        </w:r>
        <w:r>
          <w:instrText xml:space="preserve"> PAGE   \* MERGEFORMAT </w:instrText>
        </w:r>
        <w:r>
          <w:fldChar w:fldCharType="separate"/>
        </w:r>
        <w:r w:rsidR="00AC1B74">
          <w:rPr>
            <w:noProof/>
          </w:rPr>
          <w:t>1</w:t>
        </w:r>
        <w:r>
          <w:rPr>
            <w:noProof/>
          </w:rPr>
          <w:fldChar w:fldCharType="end"/>
        </w:r>
      </w:p>
    </w:sdtContent>
  </w:sdt>
  <w:p w14:paraId="53D7BC9B" w14:textId="77777777" w:rsidR="00A60D95" w:rsidRDefault="00A60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14CE2" w14:textId="77777777" w:rsidR="00E84C10" w:rsidRDefault="00E84C10">
      <w:r>
        <w:separator/>
      </w:r>
    </w:p>
  </w:footnote>
  <w:footnote w:type="continuationSeparator" w:id="0">
    <w:p w14:paraId="62ED27CF" w14:textId="77777777" w:rsidR="00E84C10" w:rsidRDefault="00E8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591B6" w14:textId="502C133F" w:rsidR="00A60D95" w:rsidRDefault="00A60D95">
    <w:pPr>
      <w:pStyle w:val="Header"/>
    </w:pPr>
  </w:p>
  <w:p w14:paraId="3BD3B26F" w14:textId="77777777" w:rsidR="00A60D95" w:rsidRDefault="00A60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12FDB" w14:textId="45EB25BD" w:rsidR="00176A2A" w:rsidRDefault="00176A2A">
    <w:pPr>
      <w:pStyle w:val="Header"/>
    </w:pPr>
    <w:r w:rsidRPr="00D91D7F">
      <w:rPr>
        <w:rFonts w:ascii="Palatino Linotype" w:hAnsi="Palatino Linotype" w:cs="Arial"/>
        <w:b/>
        <w:noProof/>
        <w:sz w:val="22"/>
        <w:szCs w:val="22"/>
        <w:lang w:val="uk-UA" w:eastAsia="uk-UA"/>
      </w:rPr>
      <w:drawing>
        <wp:anchor distT="0" distB="0" distL="114300" distR="114300" simplePos="0" relativeHeight="251659264" behindDoc="1" locked="0" layoutInCell="1" allowOverlap="1" wp14:anchorId="2C1AB6A2" wp14:editId="3A3CA4E2">
          <wp:simplePos x="0" y="0"/>
          <wp:positionH relativeFrom="margin">
            <wp:align>center</wp:align>
          </wp:positionH>
          <wp:positionV relativeFrom="paragraph">
            <wp:posOffset>-285750</wp:posOffset>
          </wp:positionV>
          <wp:extent cx="4725035" cy="1257300"/>
          <wp:effectExtent l="0" t="0" r="0" b="0"/>
          <wp:wrapTight wrapText="bothSides">
            <wp:wrapPolygon edited="0">
              <wp:start x="12889" y="4255"/>
              <wp:lineTo x="610" y="5891"/>
              <wp:lineTo x="1219" y="10145"/>
              <wp:lineTo x="697" y="12109"/>
              <wp:lineTo x="871" y="13091"/>
              <wp:lineTo x="6270" y="15382"/>
              <wp:lineTo x="6270" y="18000"/>
              <wp:lineTo x="15240" y="18000"/>
              <wp:lineTo x="15240" y="15382"/>
              <wp:lineTo x="15762" y="15382"/>
              <wp:lineTo x="20465" y="10800"/>
              <wp:lineTo x="20465" y="10145"/>
              <wp:lineTo x="20988" y="6218"/>
              <wp:lineTo x="20465" y="5891"/>
              <wp:lineTo x="14630" y="4255"/>
              <wp:lineTo x="12889" y="4255"/>
            </wp:wrapPolygon>
          </wp:wrapTight>
          <wp:docPr id="1" name="Picture 1" descr="https://www.coe.int/documents/8475493/32653270/Funded-EU-and-COE-Implemented-COE-quadri-EN.png/5a1e3d01-34cb-bed4-3b45-673dd5e72f4b?t=151696423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e.int/documents/8475493/32653270/Funded-EU-and-COE-Implemented-COE-quadri-EN.png/5a1e3d01-34cb-bed4-3b45-673dd5e72f4b?t=1516964239000"/>
                  <pic:cNvPicPr>
                    <a:picLocks noChangeAspect="1" noChangeArrowheads="1"/>
                  </pic:cNvPicPr>
                </pic:nvPicPr>
                <pic:blipFill>
                  <a:blip r:embed="rId1" cstate="print"/>
                  <a:srcRect/>
                  <a:stretch>
                    <a:fillRect/>
                  </a:stretch>
                </pic:blipFill>
                <pic:spPr bwMode="auto">
                  <a:xfrm>
                    <a:off x="0" y="0"/>
                    <a:ext cx="4725035"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214DF"/>
    <w:multiLevelType w:val="hybridMultilevel"/>
    <w:tmpl w:val="CAC6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894DFD"/>
    <w:multiLevelType w:val="hybridMultilevel"/>
    <w:tmpl w:val="17348546"/>
    <w:lvl w:ilvl="0" w:tplc="349213F4">
      <w:start w:val="1"/>
      <w:numFmt w:val="bullet"/>
      <w:pStyle w:val="Out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C7"/>
    <w:rsid w:val="00022E3E"/>
    <w:rsid w:val="00023705"/>
    <w:rsid w:val="00051B20"/>
    <w:rsid w:val="00075D70"/>
    <w:rsid w:val="000833D4"/>
    <w:rsid w:val="000871EA"/>
    <w:rsid w:val="00092240"/>
    <w:rsid w:val="000B7210"/>
    <w:rsid w:val="000C3826"/>
    <w:rsid w:val="000F107B"/>
    <w:rsid w:val="000F562D"/>
    <w:rsid w:val="001167BD"/>
    <w:rsid w:val="00151EFC"/>
    <w:rsid w:val="0016172C"/>
    <w:rsid w:val="00176A2A"/>
    <w:rsid w:val="00180B47"/>
    <w:rsid w:val="00195EAB"/>
    <w:rsid w:val="001A1220"/>
    <w:rsid w:val="001C26DC"/>
    <w:rsid w:val="001F00F2"/>
    <w:rsid w:val="001F3AC1"/>
    <w:rsid w:val="00230971"/>
    <w:rsid w:val="00246902"/>
    <w:rsid w:val="00257D0F"/>
    <w:rsid w:val="00272281"/>
    <w:rsid w:val="002831E2"/>
    <w:rsid w:val="002921A3"/>
    <w:rsid w:val="002A6258"/>
    <w:rsid w:val="002B0F7F"/>
    <w:rsid w:val="002B31B0"/>
    <w:rsid w:val="002B76EA"/>
    <w:rsid w:val="002C22AB"/>
    <w:rsid w:val="002C353E"/>
    <w:rsid w:val="002C67FB"/>
    <w:rsid w:val="002E268A"/>
    <w:rsid w:val="002E5F4D"/>
    <w:rsid w:val="002F0520"/>
    <w:rsid w:val="003002EB"/>
    <w:rsid w:val="00302FE8"/>
    <w:rsid w:val="003064B9"/>
    <w:rsid w:val="003210F4"/>
    <w:rsid w:val="00324A56"/>
    <w:rsid w:val="00326E02"/>
    <w:rsid w:val="00336E31"/>
    <w:rsid w:val="00352A63"/>
    <w:rsid w:val="00362561"/>
    <w:rsid w:val="00395B8A"/>
    <w:rsid w:val="003C0DC3"/>
    <w:rsid w:val="003F2205"/>
    <w:rsid w:val="003F3DB7"/>
    <w:rsid w:val="00445A49"/>
    <w:rsid w:val="00452058"/>
    <w:rsid w:val="00453F68"/>
    <w:rsid w:val="00473987"/>
    <w:rsid w:val="00486A7D"/>
    <w:rsid w:val="004A08CB"/>
    <w:rsid w:val="004A7BAB"/>
    <w:rsid w:val="004C2401"/>
    <w:rsid w:val="004E2183"/>
    <w:rsid w:val="004E3517"/>
    <w:rsid w:val="004F3712"/>
    <w:rsid w:val="00506683"/>
    <w:rsid w:val="00557072"/>
    <w:rsid w:val="00572BC3"/>
    <w:rsid w:val="0058337E"/>
    <w:rsid w:val="005929C8"/>
    <w:rsid w:val="005954FF"/>
    <w:rsid w:val="005A3CEC"/>
    <w:rsid w:val="005D17D3"/>
    <w:rsid w:val="005D3A14"/>
    <w:rsid w:val="005E2C7F"/>
    <w:rsid w:val="005F47C7"/>
    <w:rsid w:val="005F4A86"/>
    <w:rsid w:val="00606EE3"/>
    <w:rsid w:val="006364B8"/>
    <w:rsid w:val="00644E91"/>
    <w:rsid w:val="0065157D"/>
    <w:rsid w:val="00675D4B"/>
    <w:rsid w:val="00696C24"/>
    <w:rsid w:val="006A4207"/>
    <w:rsid w:val="006A778E"/>
    <w:rsid w:val="006B5601"/>
    <w:rsid w:val="00732656"/>
    <w:rsid w:val="00752258"/>
    <w:rsid w:val="00756A7F"/>
    <w:rsid w:val="00761EA3"/>
    <w:rsid w:val="00797D51"/>
    <w:rsid w:val="007A0AA2"/>
    <w:rsid w:val="007B64A0"/>
    <w:rsid w:val="007D0B2D"/>
    <w:rsid w:val="008029DF"/>
    <w:rsid w:val="00802B6A"/>
    <w:rsid w:val="00830A18"/>
    <w:rsid w:val="00854107"/>
    <w:rsid w:val="008860E5"/>
    <w:rsid w:val="008E2F72"/>
    <w:rsid w:val="008E55A4"/>
    <w:rsid w:val="009126EC"/>
    <w:rsid w:val="009140C0"/>
    <w:rsid w:val="00931678"/>
    <w:rsid w:val="00962C99"/>
    <w:rsid w:val="0097782F"/>
    <w:rsid w:val="00993CCE"/>
    <w:rsid w:val="009A439C"/>
    <w:rsid w:val="00A148CA"/>
    <w:rsid w:val="00A3298A"/>
    <w:rsid w:val="00A362CC"/>
    <w:rsid w:val="00A60D95"/>
    <w:rsid w:val="00AC1B74"/>
    <w:rsid w:val="00AE27AF"/>
    <w:rsid w:val="00AF2DEC"/>
    <w:rsid w:val="00B202D1"/>
    <w:rsid w:val="00B25FBA"/>
    <w:rsid w:val="00B35084"/>
    <w:rsid w:val="00B422C4"/>
    <w:rsid w:val="00B725B1"/>
    <w:rsid w:val="00B756F6"/>
    <w:rsid w:val="00B77F32"/>
    <w:rsid w:val="00BD6DDD"/>
    <w:rsid w:val="00C26E16"/>
    <w:rsid w:val="00C36782"/>
    <w:rsid w:val="00C41F41"/>
    <w:rsid w:val="00C867B0"/>
    <w:rsid w:val="00D013C7"/>
    <w:rsid w:val="00D103EF"/>
    <w:rsid w:val="00D130F1"/>
    <w:rsid w:val="00D351B5"/>
    <w:rsid w:val="00D566BA"/>
    <w:rsid w:val="00D91D7F"/>
    <w:rsid w:val="00D95492"/>
    <w:rsid w:val="00DA6623"/>
    <w:rsid w:val="00DF3112"/>
    <w:rsid w:val="00E211BA"/>
    <w:rsid w:val="00E84C10"/>
    <w:rsid w:val="00EB052B"/>
    <w:rsid w:val="00EF21F2"/>
    <w:rsid w:val="00F11057"/>
    <w:rsid w:val="00F24E74"/>
    <w:rsid w:val="00F67A10"/>
    <w:rsid w:val="00F72420"/>
    <w:rsid w:val="00F76145"/>
    <w:rsid w:val="00FB4AA7"/>
    <w:rsid w:val="00FD4495"/>
    <w:rsid w:val="00FF0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79BA"/>
  <w15:docId w15:val="{186A1A66-704E-4E76-A144-7C494EFE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3C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3C7"/>
    <w:pPr>
      <w:tabs>
        <w:tab w:val="center" w:pos="4680"/>
        <w:tab w:val="right" w:pos="9360"/>
      </w:tabs>
    </w:pPr>
  </w:style>
  <w:style w:type="character" w:customStyle="1" w:styleId="HeaderChar">
    <w:name w:val="Header Char"/>
    <w:basedOn w:val="DefaultParagraphFont"/>
    <w:link w:val="Header"/>
    <w:uiPriority w:val="99"/>
    <w:rsid w:val="00D013C7"/>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D013C7"/>
    <w:pPr>
      <w:tabs>
        <w:tab w:val="center" w:pos="4680"/>
        <w:tab w:val="right" w:pos="9360"/>
      </w:tabs>
    </w:pPr>
  </w:style>
  <w:style w:type="character" w:customStyle="1" w:styleId="FooterChar">
    <w:name w:val="Footer Char"/>
    <w:basedOn w:val="DefaultParagraphFont"/>
    <w:link w:val="Footer"/>
    <w:uiPriority w:val="99"/>
    <w:rsid w:val="00D013C7"/>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013C7"/>
    <w:pPr>
      <w:ind w:left="720"/>
      <w:contextualSpacing/>
    </w:pPr>
    <w:rPr>
      <w:lang w:val="en-GB" w:eastAsia="en-GB"/>
    </w:rPr>
  </w:style>
  <w:style w:type="character" w:customStyle="1" w:styleId="shorttext">
    <w:name w:val="short_text"/>
    <w:basedOn w:val="DefaultParagraphFont"/>
    <w:rsid w:val="00F72420"/>
  </w:style>
  <w:style w:type="paragraph" w:styleId="PlainText">
    <w:name w:val="Plain Text"/>
    <w:basedOn w:val="Normal"/>
    <w:link w:val="PlainTextChar"/>
    <w:uiPriority w:val="99"/>
    <w:semiHidden/>
    <w:unhideWhenUsed/>
    <w:rsid w:val="00336E31"/>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36E31"/>
    <w:rPr>
      <w:rFonts w:ascii="Calibri" w:hAnsi="Calibri"/>
      <w:szCs w:val="21"/>
    </w:rPr>
  </w:style>
  <w:style w:type="paragraph" w:styleId="BalloonText">
    <w:name w:val="Balloon Text"/>
    <w:basedOn w:val="Normal"/>
    <w:link w:val="BalloonTextChar"/>
    <w:uiPriority w:val="99"/>
    <w:semiHidden/>
    <w:unhideWhenUsed/>
    <w:rsid w:val="00075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D70"/>
    <w:rPr>
      <w:rFonts w:ascii="Segoe UI" w:eastAsia="Times New Roman" w:hAnsi="Segoe UI" w:cs="Segoe UI"/>
      <w:sz w:val="18"/>
      <w:szCs w:val="18"/>
      <w:lang w:val="ro-RO" w:eastAsia="ro-RO"/>
    </w:rPr>
  </w:style>
  <w:style w:type="character" w:customStyle="1" w:styleId="OutlBulletsChar">
    <w:name w:val="Outl Bullets Char"/>
    <w:basedOn w:val="DefaultParagraphFont"/>
    <w:link w:val="OutlBullets"/>
    <w:locked/>
    <w:rsid w:val="00075D70"/>
    <w:rPr>
      <w:rFonts w:ascii="Verdana" w:hAnsi="Verdana"/>
      <w:snapToGrid w:val="0"/>
      <w:sz w:val="20"/>
      <w:szCs w:val="20"/>
      <w:lang w:eastAsia="en-GB"/>
    </w:rPr>
  </w:style>
  <w:style w:type="paragraph" w:customStyle="1" w:styleId="OutlBullets">
    <w:name w:val="Outl Bullets"/>
    <w:basedOn w:val="ListParagraph"/>
    <w:link w:val="OutlBulletsChar"/>
    <w:qFormat/>
    <w:rsid w:val="00075D70"/>
    <w:pPr>
      <w:numPr>
        <w:numId w:val="2"/>
      </w:numPr>
      <w:snapToGrid w:val="0"/>
      <w:spacing w:after="60" w:line="260" w:lineRule="atLeast"/>
      <w:jc w:val="both"/>
    </w:pPr>
    <w:rPr>
      <w:rFonts w:ascii="Verdana" w:eastAsiaTheme="minorHAnsi" w:hAnsi="Verdana" w:cstheme="minorBidi"/>
      <w:snapToGrid w:val="0"/>
      <w:sz w:val="20"/>
      <w:szCs w:val="20"/>
      <w:lang w:val="en-US"/>
    </w:rPr>
  </w:style>
  <w:style w:type="table" w:styleId="MediumList2-Accent1">
    <w:name w:val="Medium List 2 Accent 1"/>
    <w:basedOn w:val="TableNormal"/>
    <w:uiPriority w:val="66"/>
    <w:rsid w:val="00075D70"/>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59"/>
    <w:rsid w:val="00176A2A"/>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553">
      <w:bodyDiv w:val="1"/>
      <w:marLeft w:val="0"/>
      <w:marRight w:val="0"/>
      <w:marTop w:val="0"/>
      <w:marBottom w:val="0"/>
      <w:divBdr>
        <w:top w:val="none" w:sz="0" w:space="0" w:color="auto"/>
        <w:left w:val="none" w:sz="0" w:space="0" w:color="auto"/>
        <w:bottom w:val="none" w:sz="0" w:space="0" w:color="auto"/>
        <w:right w:val="none" w:sz="0" w:space="0" w:color="auto"/>
      </w:divBdr>
    </w:div>
    <w:div w:id="44183146">
      <w:bodyDiv w:val="1"/>
      <w:marLeft w:val="0"/>
      <w:marRight w:val="0"/>
      <w:marTop w:val="0"/>
      <w:marBottom w:val="0"/>
      <w:divBdr>
        <w:top w:val="none" w:sz="0" w:space="0" w:color="auto"/>
        <w:left w:val="none" w:sz="0" w:space="0" w:color="auto"/>
        <w:bottom w:val="none" w:sz="0" w:space="0" w:color="auto"/>
        <w:right w:val="none" w:sz="0" w:space="0" w:color="auto"/>
      </w:divBdr>
    </w:div>
    <w:div w:id="1397699616">
      <w:bodyDiv w:val="1"/>
      <w:marLeft w:val="0"/>
      <w:marRight w:val="0"/>
      <w:marTop w:val="0"/>
      <w:marBottom w:val="0"/>
      <w:divBdr>
        <w:top w:val="none" w:sz="0" w:space="0" w:color="auto"/>
        <w:left w:val="none" w:sz="0" w:space="0" w:color="auto"/>
        <w:bottom w:val="none" w:sz="0" w:space="0" w:color="auto"/>
        <w:right w:val="none" w:sz="0" w:space="0" w:color="auto"/>
      </w:divBdr>
    </w:div>
    <w:div w:id="20641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oe.int/en/web/cybercrime/cyberea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e.int/cybercrime" TargetMode="External"/><Relationship Id="rId4" Type="http://schemas.openxmlformats.org/officeDocument/2006/relationships/webSettings" Target="webSettings.xml"/><Relationship Id="rId9" Type="http://schemas.openxmlformats.org/officeDocument/2006/relationships/hyperlink" Target="mailto:Giorgi.Jokhadze@coe.i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828</Words>
  <Characters>4721</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Council of Europe</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DROMINA-VOLOC Nataliya</dc:creator>
  <cp:lastModifiedBy>Giorgi</cp:lastModifiedBy>
  <cp:revision>5</cp:revision>
  <cp:lastPrinted>2020-01-23T13:35:00Z</cp:lastPrinted>
  <dcterms:created xsi:type="dcterms:W3CDTF">2020-01-23T13:34:00Z</dcterms:created>
  <dcterms:modified xsi:type="dcterms:W3CDTF">2021-07-02T11:57:00Z</dcterms:modified>
</cp:coreProperties>
</file>