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D2E59" w14:textId="42C6E4F5" w:rsidR="00D82C18" w:rsidRPr="00530280" w:rsidRDefault="00511959" w:rsidP="00530280">
      <w:pPr>
        <w:rPr>
          <w:rFonts w:ascii="Verdana" w:hAnsi="Verdana"/>
        </w:rPr>
      </w:pPr>
      <w:r w:rsidRPr="00530280">
        <w:rPr>
          <w:rFonts w:ascii="Verdana" w:hAnsi="Verdana"/>
          <w:b/>
          <w:sz w:val="32"/>
          <w:szCs w:val="32"/>
          <w:lang w:val="fr-FR"/>
        </w:rPr>
        <w:t>AJTC 2017 – Plan du cours</w:t>
      </w:r>
    </w:p>
    <w:p w14:paraId="297047B4" w14:textId="77777777" w:rsidR="00B71D66" w:rsidRPr="003406F3" w:rsidRDefault="00B71D66" w:rsidP="00B71D66">
      <w:pPr>
        <w:pStyle w:val="Paragraphedeliste"/>
        <w:ind w:left="360"/>
        <w:rPr>
          <w:rFonts w:ascii="Verdana" w:hAnsi="Verdana"/>
        </w:rPr>
      </w:pPr>
    </w:p>
    <w:p w14:paraId="6857C56D" w14:textId="2B4F245E" w:rsidR="00D82C18" w:rsidRPr="00530280" w:rsidRDefault="00511959" w:rsidP="00530280">
      <w:pPr>
        <w:rPr>
          <w:rFonts w:ascii="Verdana" w:hAnsi="Verdana"/>
          <w:sz w:val="28"/>
          <w:szCs w:val="28"/>
          <w:lang w:val="en-US"/>
        </w:rPr>
      </w:pPr>
      <w:r w:rsidRPr="00530280">
        <w:rPr>
          <w:rFonts w:ascii="Verdana" w:hAnsi="Verdana"/>
          <w:sz w:val="28"/>
          <w:szCs w:val="28"/>
          <w:lang w:val="fr-FR"/>
        </w:rPr>
        <w:t>Co</w:t>
      </w:r>
      <w:r w:rsidR="00530280" w:rsidRPr="00530280">
        <w:rPr>
          <w:rFonts w:ascii="Verdana" w:hAnsi="Verdana"/>
          <w:sz w:val="28"/>
          <w:szCs w:val="28"/>
          <w:lang w:val="fr-FR"/>
        </w:rPr>
        <w:t>urs n° 2.2.2 (Présen</w:t>
      </w:r>
      <w:bookmarkStart w:id="0" w:name="_GoBack"/>
      <w:bookmarkEnd w:id="0"/>
      <w:r w:rsidR="00530280" w:rsidRPr="00530280">
        <w:rPr>
          <w:rFonts w:ascii="Verdana" w:hAnsi="Verdana"/>
          <w:sz w:val="28"/>
          <w:szCs w:val="28"/>
          <w:lang w:val="fr-FR"/>
        </w:rPr>
        <w:t>tation de l</w:t>
      </w:r>
      <w:r w:rsidR="0064694A">
        <w:rPr>
          <w:rFonts w:ascii="Verdana" w:hAnsi="Verdana"/>
          <w:sz w:val="28"/>
          <w:szCs w:val="28"/>
          <w:lang w:val="fr-FR"/>
        </w:rPr>
        <w:t>’</w:t>
      </w:r>
      <w:r w:rsidRPr="00530280">
        <w:rPr>
          <w:rFonts w:ascii="Verdana" w:hAnsi="Verdana"/>
          <w:sz w:val="28"/>
          <w:szCs w:val="28"/>
          <w:lang w:val="fr-FR"/>
        </w:rPr>
        <w:t>étude de cas)</w:t>
      </w:r>
    </w:p>
    <w:p w14:paraId="0A3DD02D" w14:textId="77777777" w:rsidR="00D82C18" w:rsidRPr="003406F3" w:rsidRDefault="00D82C18" w:rsidP="00B71D66">
      <w:pPr>
        <w:ind w:left="720"/>
        <w:rPr>
          <w:rFonts w:ascii="Verdana" w:hAnsi="Verdan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4711"/>
        <w:gridCol w:w="2684"/>
      </w:tblGrid>
      <w:tr w:rsidR="003406F3" w:rsidRPr="003406F3" w14:paraId="58A3485E" w14:textId="77777777" w:rsidTr="00530280">
        <w:trPr>
          <w:trHeight w:val="872"/>
        </w:trPr>
        <w:tc>
          <w:tcPr>
            <w:tcW w:w="6326" w:type="dxa"/>
            <w:gridSpan w:val="2"/>
            <w:shd w:val="clear" w:color="auto" w:fill="DEEAF6" w:themeFill="accent5" w:themeFillTint="33"/>
            <w:vAlign w:val="center"/>
          </w:tcPr>
          <w:p w14:paraId="0067FF35" w14:textId="3DC5573D" w:rsidR="00D82C18" w:rsidRPr="00530280" w:rsidRDefault="00511959" w:rsidP="0064694A">
            <w:pPr>
              <w:rPr>
                <w:rFonts w:ascii="Verdana" w:hAnsi="Verdana"/>
                <w:sz w:val="22"/>
                <w:szCs w:val="22"/>
              </w:rPr>
            </w:pPr>
            <w:r w:rsidRPr="00530280">
              <w:rPr>
                <w:rFonts w:ascii="Verdana" w:hAnsi="Verdana"/>
                <w:sz w:val="22"/>
                <w:szCs w:val="22"/>
                <w:lang w:val="fr-FR"/>
              </w:rPr>
              <w:t xml:space="preserve">Cours n° 2.2.2 (Présentation de </w:t>
            </w:r>
            <w:r w:rsidR="00530280" w:rsidRPr="00530280">
              <w:rPr>
                <w:rFonts w:ascii="Verdana" w:hAnsi="Verdana"/>
                <w:sz w:val="22"/>
                <w:szCs w:val="22"/>
                <w:lang w:val="fr-FR"/>
              </w:rPr>
              <w:t>l</w:t>
            </w:r>
            <w:r w:rsidR="0064694A">
              <w:rPr>
                <w:rFonts w:ascii="Verdana" w:hAnsi="Verdana"/>
                <w:sz w:val="22"/>
                <w:szCs w:val="22"/>
                <w:lang w:val="fr-FR"/>
              </w:rPr>
              <w:t>’</w:t>
            </w:r>
            <w:r w:rsidRPr="00530280">
              <w:rPr>
                <w:rFonts w:ascii="Verdana" w:hAnsi="Verdana"/>
                <w:sz w:val="22"/>
                <w:szCs w:val="22"/>
                <w:lang w:val="fr-FR"/>
              </w:rPr>
              <w:t>étude de cas)</w:t>
            </w:r>
          </w:p>
        </w:tc>
        <w:tc>
          <w:tcPr>
            <w:tcW w:w="2684" w:type="dxa"/>
            <w:shd w:val="clear" w:color="auto" w:fill="DEEAF6" w:themeFill="accent5" w:themeFillTint="33"/>
            <w:vAlign w:val="center"/>
          </w:tcPr>
          <w:p w14:paraId="30B631DA" w14:textId="60AB3810" w:rsidR="00D82C18" w:rsidRPr="00530280" w:rsidRDefault="00511959" w:rsidP="0064694A">
            <w:pPr>
              <w:rPr>
                <w:rFonts w:ascii="Verdana" w:hAnsi="Verdana"/>
                <w:sz w:val="22"/>
                <w:szCs w:val="22"/>
              </w:rPr>
            </w:pPr>
            <w:r w:rsidRPr="00530280">
              <w:rPr>
                <w:rFonts w:ascii="Verdana" w:hAnsi="Verdana"/>
                <w:sz w:val="22"/>
                <w:szCs w:val="22"/>
                <w:lang w:val="fr-FR"/>
              </w:rPr>
              <w:t>Durée :</w:t>
            </w:r>
            <w:r w:rsidR="00D82C18" w:rsidRPr="0053028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530280">
              <w:rPr>
                <w:rFonts w:ascii="Verdana" w:hAnsi="Verdana"/>
                <w:sz w:val="22"/>
                <w:szCs w:val="22"/>
                <w:lang w:val="fr-FR"/>
              </w:rPr>
              <w:t>60 minutes</w:t>
            </w:r>
          </w:p>
        </w:tc>
      </w:tr>
      <w:tr w:rsidR="003406F3" w:rsidRPr="003406F3" w14:paraId="7C1107AB" w14:textId="77777777" w:rsidTr="00530280">
        <w:trPr>
          <w:trHeight w:val="1025"/>
        </w:trPr>
        <w:tc>
          <w:tcPr>
            <w:tcW w:w="9010" w:type="dxa"/>
            <w:gridSpan w:val="3"/>
            <w:vAlign w:val="center"/>
          </w:tcPr>
          <w:p w14:paraId="54042637" w14:textId="4CD5F08D" w:rsidR="00E7344B" w:rsidRPr="00530280" w:rsidRDefault="00511959" w:rsidP="00530280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 w:rsidRPr="00530280">
              <w:rPr>
                <w:rFonts w:ascii="Verdana" w:hAnsi="Verdana"/>
                <w:b/>
                <w:sz w:val="22"/>
                <w:szCs w:val="22"/>
                <w:lang w:val="fr-FR"/>
              </w:rPr>
              <w:t>Ressources nécessaires :</w:t>
            </w:r>
          </w:p>
          <w:p w14:paraId="154E09D3" w14:textId="0D689D4D" w:rsidR="00530280" w:rsidRPr="00530280" w:rsidRDefault="00530280" w:rsidP="00530280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  <w:lang w:val="en-GB"/>
              </w:rPr>
            </w:pPr>
            <w:r w:rsidRPr="00530280">
              <w:rPr>
                <w:szCs w:val="18"/>
                <w:lang w:val="fr-FR"/>
              </w:rPr>
              <w:t>PC/portable équipé des versions des logiciels compatibles avec les supports prévus</w:t>
            </w:r>
          </w:p>
          <w:p w14:paraId="57C720A7" w14:textId="73BBDB6B" w:rsidR="00530280" w:rsidRPr="00530280" w:rsidRDefault="00530280" w:rsidP="00530280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bCs/>
                <w:szCs w:val="18"/>
                <w:lang w:val="en-GB"/>
              </w:rPr>
            </w:pPr>
            <w:r w:rsidRPr="00530280">
              <w:rPr>
                <w:bCs/>
                <w:szCs w:val="18"/>
                <w:lang w:val="fr-FR"/>
              </w:rPr>
              <w:t>projecteur et écran</w:t>
            </w:r>
          </w:p>
          <w:p w14:paraId="7501EB9F" w14:textId="38ED97FF" w:rsidR="00530280" w:rsidRPr="00530280" w:rsidRDefault="00530280" w:rsidP="00530280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bCs/>
                <w:szCs w:val="18"/>
                <w:lang w:val="en-GB"/>
              </w:rPr>
            </w:pPr>
            <w:r w:rsidRPr="00530280">
              <w:rPr>
                <w:bCs/>
                <w:szCs w:val="18"/>
                <w:lang w:val="fr-FR"/>
              </w:rPr>
              <w:t>accès à internet (si possible)</w:t>
            </w:r>
          </w:p>
          <w:p w14:paraId="14CF9EF0" w14:textId="4730BEA1" w:rsidR="00E7344B" w:rsidRPr="00530280" w:rsidRDefault="00530280" w:rsidP="0064694A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rFonts w:cs="Helvetica"/>
                <w:szCs w:val="18"/>
                <w:lang w:val="en-GB"/>
              </w:rPr>
            </w:pPr>
            <w:r w:rsidRPr="00530280">
              <w:rPr>
                <w:rFonts w:cs="Helvetica"/>
                <w:szCs w:val="18"/>
                <w:lang w:val="fr-FR"/>
              </w:rPr>
              <w:t>feuilles et stylos pour les participants.</w:t>
            </w:r>
          </w:p>
        </w:tc>
      </w:tr>
      <w:tr w:rsidR="003406F3" w:rsidRPr="003406F3" w14:paraId="635F2EFD" w14:textId="77777777" w:rsidTr="00530280">
        <w:trPr>
          <w:trHeight w:val="1241"/>
        </w:trPr>
        <w:tc>
          <w:tcPr>
            <w:tcW w:w="9010" w:type="dxa"/>
            <w:gridSpan w:val="3"/>
            <w:vAlign w:val="center"/>
          </w:tcPr>
          <w:p w14:paraId="34602AF3" w14:textId="0DECF6DE" w:rsidR="00A03CF0" w:rsidRPr="003406F3" w:rsidRDefault="00511959" w:rsidP="00530280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 w:rsidRPr="00530280">
              <w:rPr>
                <w:rFonts w:ascii="Verdana" w:hAnsi="Verdana"/>
                <w:b/>
                <w:sz w:val="22"/>
                <w:szCs w:val="22"/>
                <w:lang w:val="fr-FR"/>
              </w:rPr>
              <w:t>But de la session :</w:t>
            </w:r>
          </w:p>
          <w:p w14:paraId="3FE58655" w14:textId="4F15B03E" w:rsidR="00A03CF0" w:rsidRPr="00530280" w:rsidRDefault="00511959" w:rsidP="0064694A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 xml:space="preserve">Le but de cette session est de présenter les concepts de base </w:t>
            </w:r>
            <w:r w:rsidR="00530280" w:rsidRPr="00530280">
              <w:rPr>
                <w:rFonts w:ascii="Verdana" w:hAnsi="Verdana"/>
                <w:sz w:val="18"/>
                <w:szCs w:val="18"/>
                <w:lang w:val="fr-FR"/>
              </w:rPr>
              <w:t>issus de</w:t>
            </w: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 xml:space="preserve"> l</w:t>
            </w:r>
            <w:r w:rsidR="0064694A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étude de cas.</w:t>
            </w:r>
            <w:r w:rsidR="006C6DDD" w:rsidRPr="0053028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 xml:space="preserve">Elle sert aussi de conclusion à </w:t>
            </w:r>
            <w:r w:rsidR="00530280" w:rsidRPr="00530280">
              <w:rPr>
                <w:rFonts w:ascii="Verdana" w:hAnsi="Verdana"/>
                <w:sz w:val="18"/>
                <w:szCs w:val="18"/>
                <w:lang w:val="fr-FR"/>
              </w:rPr>
              <w:t xml:space="preserve">la </w:t>
            </w: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première partie du cours</w:t>
            </w:r>
            <w:r w:rsidR="00530280" w:rsidRPr="00530280">
              <w:rPr>
                <w:rFonts w:ascii="Verdana" w:hAnsi="Verdana"/>
                <w:sz w:val="18"/>
                <w:szCs w:val="18"/>
                <w:lang w:val="fr-FR"/>
              </w:rPr>
              <w:t xml:space="preserve"> et </w:t>
            </w: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ouvre sur les présentations suivantes, consacrées aux escroqueries BEC, aux monnaies virtuelles et à la Convention de Budapest.</w:t>
            </w:r>
          </w:p>
        </w:tc>
      </w:tr>
      <w:tr w:rsidR="003406F3" w:rsidRPr="003406F3" w14:paraId="1B5A80A7" w14:textId="77777777" w:rsidTr="00530280">
        <w:trPr>
          <w:trHeight w:val="2240"/>
        </w:trPr>
        <w:tc>
          <w:tcPr>
            <w:tcW w:w="9010" w:type="dxa"/>
            <w:gridSpan w:val="3"/>
            <w:vAlign w:val="center"/>
          </w:tcPr>
          <w:p w14:paraId="559A7E05" w14:textId="2B34A70A" w:rsidR="00A03CF0" w:rsidRPr="00530280" w:rsidRDefault="00511959" w:rsidP="00530280">
            <w:pPr>
              <w:spacing w:before="120" w:after="120" w:line="280" w:lineRule="exact"/>
              <w:contextualSpacing/>
              <w:rPr>
                <w:rFonts w:ascii="Verdana" w:hAnsi="Verdana"/>
                <w:b/>
                <w:sz w:val="22"/>
                <w:szCs w:val="22"/>
              </w:rPr>
            </w:pPr>
            <w:r w:rsidRPr="00530280">
              <w:rPr>
                <w:rFonts w:ascii="Verdana" w:hAnsi="Verdana"/>
                <w:b/>
                <w:sz w:val="22"/>
                <w:szCs w:val="22"/>
                <w:lang w:val="fr-FR"/>
              </w:rPr>
              <w:t>Objectifs :</w:t>
            </w:r>
          </w:p>
          <w:p w14:paraId="3BEE7864" w14:textId="44B271B4" w:rsidR="005703B7" w:rsidRPr="00530280" w:rsidRDefault="00511959" w:rsidP="00530280">
            <w:pPr>
              <w:tabs>
                <w:tab w:val="left" w:pos="426"/>
                <w:tab w:val="left" w:pos="851"/>
              </w:tabs>
              <w:spacing w:before="120" w:after="120" w:line="280" w:lineRule="exact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30280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>À la fin du cours, les participants sauront :</w:t>
            </w:r>
          </w:p>
          <w:p w14:paraId="2C2C5C98" w14:textId="3FE01549" w:rsidR="00530280" w:rsidRPr="00530280" w:rsidRDefault="00530280" w:rsidP="00530280">
            <w:pPr>
              <w:pStyle w:val="bul1"/>
              <w:spacing w:before="120" w:after="120" w:line="280" w:lineRule="exact"/>
              <w:ind w:left="697" w:hanging="360"/>
              <w:rPr>
                <w:b/>
                <w:bCs/>
                <w:szCs w:val="18"/>
                <w:lang w:val="en-GB"/>
              </w:rPr>
            </w:pPr>
            <w:r w:rsidRPr="00530280">
              <w:rPr>
                <w:b/>
                <w:bCs/>
                <w:szCs w:val="18"/>
                <w:lang w:val="fr-FR"/>
              </w:rPr>
              <w:t>identifier les personnes morales et physiques présentes dans le scénario ;</w:t>
            </w:r>
          </w:p>
          <w:p w14:paraId="4436D1FE" w14:textId="56C76555" w:rsidR="00530280" w:rsidRPr="00530280" w:rsidRDefault="00530280" w:rsidP="00530280">
            <w:pPr>
              <w:pStyle w:val="bul1"/>
              <w:spacing w:before="120" w:after="120" w:line="280" w:lineRule="exact"/>
              <w:ind w:left="697" w:hanging="360"/>
              <w:rPr>
                <w:b/>
                <w:bCs/>
                <w:szCs w:val="18"/>
                <w:lang w:val="en-GB"/>
              </w:rPr>
            </w:pPr>
            <w:r w:rsidRPr="00530280">
              <w:rPr>
                <w:b/>
                <w:bCs/>
                <w:szCs w:val="18"/>
                <w:lang w:val="fr-FR"/>
              </w:rPr>
              <w:t>expliquer les faits initiaux et les grandes lignes de l</w:t>
            </w:r>
            <w:r w:rsidR="0064694A">
              <w:rPr>
                <w:b/>
                <w:bCs/>
                <w:szCs w:val="18"/>
                <w:lang w:val="fr-FR"/>
              </w:rPr>
              <w:t>’</w:t>
            </w:r>
            <w:r w:rsidRPr="00530280">
              <w:rPr>
                <w:b/>
                <w:bCs/>
                <w:szCs w:val="18"/>
                <w:lang w:val="fr-FR"/>
              </w:rPr>
              <w:t>affaire ;</w:t>
            </w:r>
          </w:p>
          <w:p w14:paraId="3EA46069" w14:textId="3A87610B" w:rsidR="00530280" w:rsidRPr="00530280" w:rsidRDefault="00530280" w:rsidP="00530280">
            <w:pPr>
              <w:pStyle w:val="bul1"/>
              <w:spacing w:before="120" w:after="120" w:line="280" w:lineRule="exact"/>
              <w:ind w:left="697" w:hanging="360"/>
              <w:rPr>
                <w:b/>
                <w:bCs/>
                <w:szCs w:val="18"/>
                <w:lang w:val="en-GB"/>
              </w:rPr>
            </w:pPr>
            <w:r w:rsidRPr="00530280">
              <w:rPr>
                <w:b/>
                <w:bCs/>
                <w:szCs w:val="18"/>
                <w:lang w:val="fr-FR"/>
              </w:rPr>
              <w:t>suivre et expliquer l</w:t>
            </w:r>
            <w:r w:rsidR="0064694A">
              <w:rPr>
                <w:b/>
                <w:bCs/>
                <w:szCs w:val="18"/>
                <w:lang w:val="fr-FR"/>
              </w:rPr>
              <w:t>’</w:t>
            </w:r>
            <w:r w:rsidRPr="00530280">
              <w:rPr>
                <w:b/>
                <w:bCs/>
                <w:szCs w:val="18"/>
                <w:lang w:val="fr-FR"/>
              </w:rPr>
              <w:t>enchaînement et l</w:t>
            </w:r>
            <w:r w:rsidR="0064694A">
              <w:rPr>
                <w:b/>
                <w:bCs/>
                <w:szCs w:val="18"/>
                <w:lang w:val="fr-FR"/>
              </w:rPr>
              <w:t>’</w:t>
            </w:r>
            <w:r w:rsidRPr="00530280">
              <w:rPr>
                <w:b/>
                <w:bCs/>
                <w:szCs w:val="18"/>
                <w:lang w:val="fr-FR"/>
              </w:rPr>
              <w:t>évolution des investigations ;</w:t>
            </w:r>
          </w:p>
          <w:p w14:paraId="20961668" w14:textId="52A7EE7F" w:rsidR="00530280" w:rsidRPr="00530280" w:rsidRDefault="00530280" w:rsidP="00530280">
            <w:pPr>
              <w:pStyle w:val="bul1"/>
              <w:spacing w:before="120" w:after="120" w:line="280" w:lineRule="exact"/>
              <w:ind w:left="697" w:hanging="360"/>
              <w:rPr>
                <w:b/>
                <w:bCs/>
                <w:szCs w:val="18"/>
                <w:lang w:val="en-GB"/>
              </w:rPr>
            </w:pPr>
            <w:r w:rsidRPr="00530280">
              <w:rPr>
                <w:b/>
                <w:bCs/>
                <w:szCs w:val="18"/>
                <w:lang w:val="fr-FR"/>
              </w:rPr>
              <w:t>expliquer comment l</w:t>
            </w:r>
            <w:r w:rsidR="0064694A">
              <w:rPr>
                <w:b/>
                <w:bCs/>
                <w:szCs w:val="18"/>
                <w:lang w:val="fr-FR"/>
              </w:rPr>
              <w:t>’</w:t>
            </w:r>
            <w:r w:rsidRPr="00530280">
              <w:rPr>
                <w:b/>
                <w:bCs/>
                <w:szCs w:val="18"/>
                <w:lang w:val="fr-FR"/>
              </w:rPr>
              <w:t>acte a été perpétré et qui en sont les principaux auteurs ;</w:t>
            </w:r>
          </w:p>
          <w:p w14:paraId="61ABEAC5" w14:textId="22BFEEE0" w:rsidR="0051122C" w:rsidRPr="00530280" w:rsidRDefault="00530280" w:rsidP="0064694A">
            <w:pPr>
              <w:pStyle w:val="bul1"/>
              <w:spacing w:before="120" w:after="120" w:line="280" w:lineRule="exact"/>
              <w:ind w:left="697" w:hanging="360"/>
              <w:rPr>
                <w:b/>
                <w:bCs/>
                <w:szCs w:val="18"/>
                <w:lang w:val="en-GB"/>
              </w:rPr>
            </w:pPr>
            <w:r w:rsidRPr="00530280">
              <w:rPr>
                <w:b/>
                <w:bCs/>
                <w:szCs w:val="18"/>
                <w:lang w:val="fr-FR"/>
              </w:rPr>
              <w:t>établir comment et par où l</w:t>
            </w:r>
            <w:r w:rsidR="0064694A">
              <w:rPr>
                <w:b/>
                <w:bCs/>
                <w:szCs w:val="18"/>
                <w:lang w:val="fr-FR"/>
              </w:rPr>
              <w:t>’</w:t>
            </w:r>
            <w:r w:rsidRPr="00530280">
              <w:rPr>
                <w:b/>
                <w:bCs/>
                <w:szCs w:val="18"/>
                <w:lang w:val="fr-FR"/>
              </w:rPr>
              <w:t>investigation pénale devrait commencer, et selon quelles procédures.</w:t>
            </w:r>
          </w:p>
        </w:tc>
      </w:tr>
      <w:tr w:rsidR="003406F3" w:rsidRPr="003406F3" w14:paraId="03110757" w14:textId="77777777" w:rsidTr="00530280">
        <w:trPr>
          <w:trHeight w:val="1475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60412D50" w:rsidR="005703B7" w:rsidRPr="00530280" w:rsidRDefault="00E522ED" w:rsidP="00530280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 w:rsidRPr="00530280">
              <w:rPr>
                <w:rFonts w:ascii="Verdana" w:hAnsi="Verdana"/>
                <w:b/>
                <w:sz w:val="22"/>
                <w:szCs w:val="22"/>
                <w:lang w:val="fr-FR"/>
              </w:rPr>
              <w:t>Orientations pour les formateurs</w:t>
            </w:r>
          </w:p>
          <w:p w14:paraId="5EFF4BEF" w14:textId="5B7DFEE0" w:rsidR="001A51A7" w:rsidRPr="00530280" w:rsidRDefault="00E2062A" w:rsidP="0064694A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Cette session a été conçue pour offrir aux participants un premier aperçu des éléments clés de l</w:t>
            </w:r>
            <w:r w:rsidR="0064694A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étude de cas.</w:t>
            </w:r>
            <w:r w:rsidR="00B569A5" w:rsidRPr="0053028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Elle se divise en cinq parties.</w:t>
            </w:r>
            <w:r w:rsidR="00B569A5" w:rsidRPr="0053028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E5137" w:rsidRPr="00530280">
              <w:rPr>
                <w:rFonts w:ascii="Verdana" w:hAnsi="Verdana"/>
                <w:sz w:val="18"/>
                <w:szCs w:val="18"/>
                <w:lang w:val="fr-FR"/>
              </w:rPr>
              <w:t>La première présente les principaux acteurs de l</w:t>
            </w:r>
            <w:r w:rsidR="0064694A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="001E5137" w:rsidRPr="00530280">
              <w:rPr>
                <w:rFonts w:ascii="Verdana" w:hAnsi="Verdana"/>
                <w:sz w:val="18"/>
                <w:szCs w:val="18"/>
                <w:lang w:val="fr-FR"/>
              </w:rPr>
              <w:t>étude de cas.</w:t>
            </w:r>
            <w:r w:rsidR="00B12C44" w:rsidRPr="0053028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1E5137" w:rsidRPr="00530280">
              <w:rPr>
                <w:rFonts w:ascii="Verdana" w:hAnsi="Verdana"/>
                <w:sz w:val="18"/>
                <w:szCs w:val="18"/>
                <w:lang w:val="fr-FR"/>
              </w:rPr>
              <w:t>L</w:t>
            </w:r>
            <w:r w:rsidR="0064694A">
              <w:rPr>
                <w:rFonts w:ascii="Verdana" w:hAnsi="Verdana"/>
                <w:sz w:val="18"/>
                <w:szCs w:val="18"/>
                <w:lang w:val="fr-FR"/>
              </w:rPr>
              <w:t>a</w:t>
            </w:r>
            <w:r w:rsidR="001E5137" w:rsidRPr="00530280">
              <w:rPr>
                <w:rFonts w:ascii="Verdana" w:hAnsi="Verdana"/>
                <w:sz w:val="18"/>
                <w:szCs w:val="18"/>
                <w:lang w:val="fr-FR"/>
              </w:rPr>
              <w:t xml:space="preserve"> deuxième est consacrée à la structure de l</w:t>
            </w:r>
            <w:r w:rsidR="0064694A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="001E5137" w:rsidRPr="00530280">
              <w:rPr>
                <w:rFonts w:ascii="Verdana" w:hAnsi="Verdana"/>
                <w:sz w:val="18"/>
                <w:szCs w:val="18"/>
                <w:lang w:val="fr-FR"/>
              </w:rPr>
              <w:t>affaire,</w:t>
            </w:r>
            <w:r w:rsidR="00B12C44" w:rsidRPr="0053028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1E5137" w:rsidRPr="00530280">
              <w:rPr>
                <w:rFonts w:ascii="Verdana" w:hAnsi="Verdana"/>
                <w:sz w:val="18"/>
                <w:szCs w:val="18"/>
                <w:lang w:val="fr-FR"/>
              </w:rPr>
              <w:t>et la troisième à la perpétration de l</w:t>
            </w:r>
            <w:r w:rsidR="0064694A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="001E5137" w:rsidRPr="00530280">
              <w:rPr>
                <w:rFonts w:ascii="Verdana" w:hAnsi="Verdana"/>
                <w:sz w:val="18"/>
                <w:szCs w:val="18"/>
                <w:lang w:val="fr-FR"/>
              </w:rPr>
              <w:t>infraction.</w:t>
            </w:r>
            <w:r w:rsidR="00B12C44" w:rsidRPr="0053028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E5137" w:rsidRPr="00530280">
              <w:rPr>
                <w:rFonts w:ascii="Verdana" w:hAnsi="Verdana"/>
                <w:sz w:val="18"/>
                <w:szCs w:val="18"/>
                <w:lang w:val="fr-FR"/>
              </w:rPr>
              <w:t>La quatrième partie présente les bases sur lesquelles les investigations – et le travail des participants – vont commencer.</w:t>
            </w:r>
            <w:r w:rsidR="00B12C44" w:rsidRPr="0053028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E5137" w:rsidRPr="00530280">
              <w:rPr>
                <w:rFonts w:ascii="Verdana" w:hAnsi="Verdana"/>
                <w:sz w:val="18"/>
                <w:szCs w:val="18"/>
                <w:lang w:val="fr-FR"/>
              </w:rPr>
              <w:t>La cinquième partie synthétise ce qui vient d</w:t>
            </w:r>
            <w:r w:rsidR="0064694A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="001E5137" w:rsidRPr="00530280">
              <w:rPr>
                <w:rFonts w:ascii="Verdana" w:hAnsi="Verdana"/>
                <w:sz w:val="18"/>
                <w:szCs w:val="18"/>
                <w:lang w:val="fr-FR"/>
              </w:rPr>
              <w:t>être vu.</w:t>
            </w:r>
          </w:p>
        </w:tc>
      </w:tr>
      <w:tr w:rsidR="003406F3" w:rsidRPr="003406F3" w14:paraId="7760520D" w14:textId="77777777" w:rsidTr="00530280">
        <w:trPr>
          <w:trHeight w:val="701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76CFD474" w:rsidR="005A4E47" w:rsidRPr="00530280" w:rsidRDefault="007D628A" w:rsidP="0064694A">
            <w:pPr>
              <w:rPr>
                <w:rFonts w:ascii="Verdana" w:hAnsi="Verdana"/>
                <w:b/>
                <w:sz w:val="28"/>
                <w:szCs w:val="28"/>
              </w:rPr>
            </w:pPr>
            <w:r w:rsidRPr="00530280">
              <w:rPr>
                <w:rFonts w:ascii="Verdana" w:hAnsi="Verdana"/>
                <w:b/>
                <w:sz w:val="28"/>
                <w:szCs w:val="28"/>
                <w:lang w:val="fr-FR"/>
              </w:rPr>
              <w:lastRenderedPageBreak/>
              <w:t>Déroulé du cours</w:t>
            </w:r>
          </w:p>
        </w:tc>
      </w:tr>
      <w:tr w:rsidR="003406F3" w:rsidRPr="003406F3" w14:paraId="57CC7AA4" w14:textId="77777777" w:rsidTr="00530280">
        <w:trPr>
          <w:trHeight w:val="629"/>
        </w:trPr>
        <w:tc>
          <w:tcPr>
            <w:tcW w:w="1615" w:type="dxa"/>
            <w:shd w:val="clear" w:color="auto" w:fill="D9E2F3" w:themeFill="accent1" w:themeFillTint="33"/>
            <w:vAlign w:val="center"/>
          </w:tcPr>
          <w:p w14:paraId="4538C338" w14:textId="5CC5AB1D" w:rsidR="00D82C18" w:rsidRPr="00530280" w:rsidRDefault="007D628A" w:rsidP="0064694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30280">
              <w:rPr>
                <w:rFonts w:ascii="Verdana" w:hAnsi="Verdana"/>
                <w:b/>
                <w:sz w:val="22"/>
                <w:szCs w:val="22"/>
                <w:lang w:val="fr-FR"/>
              </w:rPr>
              <w:t>Diapos n° :</w:t>
            </w:r>
          </w:p>
        </w:tc>
        <w:tc>
          <w:tcPr>
            <w:tcW w:w="7395" w:type="dxa"/>
            <w:gridSpan w:val="2"/>
            <w:shd w:val="clear" w:color="auto" w:fill="D9E2F3" w:themeFill="accent1" w:themeFillTint="33"/>
            <w:vAlign w:val="center"/>
          </w:tcPr>
          <w:p w14:paraId="2DA616FC" w14:textId="5A88F26A" w:rsidR="00D82C18" w:rsidRPr="00530280" w:rsidRDefault="007D628A" w:rsidP="0064694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30280">
              <w:rPr>
                <w:rFonts w:ascii="Verdana" w:hAnsi="Verdana"/>
                <w:b/>
                <w:sz w:val="22"/>
                <w:szCs w:val="22"/>
                <w:lang w:val="fr-FR"/>
              </w:rPr>
              <w:t>Contenu</w:t>
            </w:r>
          </w:p>
        </w:tc>
      </w:tr>
      <w:tr w:rsidR="003406F3" w:rsidRPr="003406F3" w14:paraId="11A12D7E" w14:textId="77777777" w:rsidTr="00530280">
        <w:trPr>
          <w:trHeight w:val="530"/>
        </w:trPr>
        <w:tc>
          <w:tcPr>
            <w:tcW w:w="1615" w:type="dxa"/>
            <w:vAlign w:val="center"/>
          </w:tcPr>
          <w:p w14:paraId="5A89CF27" w14:textId="790C7A32" w:rsidR="00D82C18" w:rsidRPr="00530280" w:rsidRDefault="007D628A" w:rsidP="0064694A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1 à 3</w:t>
            </w:r>
          </w:p>
        </w:tc>
        <w:tc>
          <w:tcPr>
            <w:tcW w:w="7395" w:type="dxa"/>
            <w:gridSpan w:val="2"/>
            <w:vAlign w:val="center"/>
          </w:tcPr>
          <w:p w14:paraId="36345B59" w14:textId="18A2DBC9" w:rsidR="003630ED" w:rsidRPr="00530280" w:rsidRDefault="007D628A" w:rsidP="0064694A">
            <w:pPr>
              <w:tabs>
                <w:tab w:val="left" w:pos="426"/>
                <w:tab w:val="left" w:pos="851"/>
              </w:tabs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530280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>Les premières diapos exposent la structure et les objectifs de la session.</w:t>
            </w:r>
            <w:r w:rsidR="00DB09DC" w:rsidRPr="00530280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530280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>Les participants peuvent poser toutes les questions qu</w:t>
            </w:r>
            <w:r w:rsidR="0064694A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>’</w:t>
            </w:r>
            <w:r w:rsidRPr="00530280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>ils pourraient avoir sur la structure et les objectifs de la session.</w:t>
            </w:r>
          </w:p>
        </w:tc>
      </w:tr>
      <w:tr w:rsidR="003406F3" w:rsidRPr="003406F3" w14:paraId="65F07CB5" w14:textId="77777777" w:rsidTr="00530280">
        <w:trPr>
          <w:trHeight w:val="1241"/>
        </w:trPr>
        <w:tc>
          <w:tcPr>
            <w:tcW w:w="1615" w:type="dxa"/>
            <w:vAlign w:val="center"/>
          </w:tcPr>
          <w:p w14:paraId="6F5AEB2D" w14:textId="0AB1D461" w:rsidR="00D82C18" w:rsidRPr="00530280" w:rsidRDefault="007A5560" w:rsidP="0064694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4 à 9</w:t>
            </w:r>
          </w:p>
        </w:tc>
        <w:tc>
          <w:tcPr>
            <w:tcW w:w="7395" w:type="dxa"/>
            <w:gridSpan w:val="2"/>
            <w:vAlign w:val="center"/>
          </w:tcPr>
          <w:p w14:paraId="0C1C3B2B" w14:textId="28012D18" w:rsidR="007514CB" w:rsidRPr="00530280" w:rsidRDefault="007A5560" w:rsidP="00530280">
            <w:pPr>
              <w:spacing w:line="276" w:lineRule="auto"/>
              <w:jc w:val="both"/>
            </w:pPr>
            <w:r w:rsidRPr="00530280">
              <w:rPr>
                <w:lang w:val="fr-FR"/>
              </w:rPr>
              <w:t>Ces diapos présentent le monde fictif utilisé aux fins de la formation, composé de pays qui n</w:t>
            </w:r>
            <w:r w:rsidR="0064694A">
              <w:rPr>
                <w:lang w:val="fr-FR"/>
              </w:rPr>
              <w:t>’</w:t>
            </w:r>
            <w:r w:rsidRPr="00530280">
              <w:rPr>
                <w:lang w:val="fr-FR"/>
              </w:rPr>
              <w:t>existent pas mais dont on considère qu</w:t>
            </w:r>
            <w:r w:rsidR="0064694A">
              <w:rPr>
                <w:lang w:val="fr-FR"/>
              </w:rPr>
              <w:t>’</w:t>
            </w:r>
            <w:r w:rsidRPr="00530280">
              <w:rPr>
                <w:lang w:val="fr-FR"/>
              </w:rPr>
              <w:t>ils ont ratifié la Convention de Budapest.</w:t>
            </w:r>
            <w:r w:rsidR="00B12C44" w:rsidRPr="00530280">
              <w:t xml:space="preserve"> </w:t>
            </w:r>
            <w:r w:rsidRPr="00530280">
              <w:rPr>
                <w:lang w:val="fr-FR"/>
              </w:rPr>
              <w:t>Les participants font la connaissance de la Federal Bank of Atlantis, d</w:t>
            </w:r>
            <w:r w:rsidR="0064694A">
              <w:rPr>
                <w:lang w:val="fr-FR"/>
              </w:rPr>
              <w:t>’</w:t>
            </w:r>
            <w:r w:rsidRPr="00530280">
              <w:rPr>
                <w:lang w:val="fr-FR"/>
              </w:rPr>
              <w:t>United Bank Printing et de la Docklands Securit</w:t>
            </w:r>
            <w:r w:rsidR="00530280" w:rsidRPr="00530280">
              <w:rPr>
                <w:lang w:val="fr-FR"/>
              </w:rPr>
              <w:t>y</w:t>
            </w:r>
            <w:r w:rsidRPr="00530280">
              <w:rPr>
                <w:lang w:val="fr-FR"/>
              </w:rPr>
              <w:t xml:space="preserve"> Bank of Norland.</w:t>
            </w:r>
          </w:p>
          <w:p w14:paraId="27F16C9C" w14:textId="77777777" w:rsidR="00B12C44" w:rsidRDefault="00B12C44" w:rsidP="00B12C44">
            <w:pPr>
              <w:spacing w:line="276" w:lineRule="auto"/>
              <w:jc w:val="both"/>
            </w:pPr>
          </w:p>
          <w:p w14:paraId="397BF0E6" w14:textId="388F3CC1" w:rsidR="00B12C44" w:rsidRPr="00530280" w:rsidRDefault="007A5560" w:rsidP="00530280">
            <w:pPr>
              <w:spacing w:line="276" w:lineRule="auto"/>
              <w:jc w:val="both"/>
              <w:rPr>
                <w:lang w:val="en-US"/>
              </w:rPr>
            </w:pPr>
            <w:r w:rsidRPr="00530280">
              <w:rPr>
                <w:lang w:val="fr-FR"/>
              </w:rPr>
              <w:t xml:space="preserve">Pour commencer, le scénario présente la </w:t>
            </w:r>
            <w:r w:rsidR="00530280" w:rsidRPr="00530280">
              <w:rPr>
                <w:lang w:val="fr-FR"/>
              </w:rPr>
              <w:t>Federal Bank of Atlantis</w:t>
            </w:r>
            <w:r w:rsidRPr="00530280">
              <w:rPr>
                <w:lang w:val="fr-FR"/>
              </w:rPr>
              <w:t xml:space="preserve"> (</w:t>
            </w:r>
            <w:r w:rsidR="00530280" w:rsidRPr="00530280">
              <w:rPr>
                <w:lang w:val="fr-FR"/>
              </w:rPr>
              <w:t>FBA</w:t>
            </w:r>
            <w:r w:rsidRPr="00530280">
              <w:rPr>
                <w:lang w:val="fr-FR"/>
              </w:rPr>
              <w:t>) comme une banque ancienne et à la réputation bien établie.</w:t>
            </w:r>
            <w:r w:rsidR="00B12C44" w:rsidRPr="00530280">
              <w:rPr>
                <w:lang w:val="en-US"/>
              </w:rPr>
              <w:t xml:space="preserve"> </w:t>
            </w:r>
            <w:r w:rsidRPr="00530280">
              <w:rPr>
                <w:lang w:val="fr-FR"/>
              </w:rPr>
              <w:t>Cette description devrait amener les participants à penser que ce type de banque est à l</w:t>
            </w:r>
            <w:r w:rsidR="0064694A">
              <w:rPr>
                <w:lang w:val="fr-FR"/>
              </w:rPr>
              <w:t>’</w:t>
            </w:r>
            <w:r w:rsidRPr="00530280">
              <w:rPr>
                <w:lang w:val="fr-FR"/>
              </w:rPr>
              <w:t xml:space="preserve">abri des problèmes, </w:t>
            </w:r>
            <w:r w:rsidRPr="00530280">
              <w:rPr>
                <w:i/>
                <w:lang w:val="fr-FR"/>
              </w:rPr>
              <w:t>a fortiori</w:t>
            </w:r>
            <w:r w:rsidRPr="00530280">
              <w:rPr>
                <w:lang w:val="fr-FR"/>
              </w:rPr>
              <w:t xml:space="preserve"> tels que ceux qui seront décrits plus loin.</w:t>
            </w:r>
          </w:p>
          <w:p w14:paraId="5CC3B1D1" w14:textId="77777777" w:rsidR="00B12C44" w:rsidRPr="00B12C44" w:rsidRDefault="00B12C44" w:rsidP="00B12C44">
            <w:pPr>
              <w:spacing w:line="276" w:lineRule="auto"/>
              <w:jc w:val="both"/>
              <w:rPr>
                <w:lang w:val="en-US"/>
              </w:rPr>
            </w:pPr>
          </w:p>
          <w:p w14:paraId="649FEA68" w14:textId="1877EE27" w:rsidR="00B12C44" w:rsidRPr="00530280" w:rsidRDefault="007A5560" w:rsidP="0064694A">
            <w:pPr>
              <w:spacing w:line="276" w:lineRule="auto"/>
              <w:jc w:val="both"/>
            </w:pPr>
            <w:r w:rsidRPr="00530280">
              <w:rPr>
                <w:lang w:val="fr-FR"/>
              </w:rPr>
              <w:t>Les participants doivent identifier les principaux faits, ainsi que les départements et décideurs clés des entreprises, pour cerner l</w:t>
            </w:r>
            <w:r w:rsidR="0064694A">
              <w:rPr>
                <w:lang w:val="fr-FR"/>
              </w:rPr>
              <w:t>’</w:t>
            </w:r>
            <w:r w:rsidRPr="00530280">
              <w:rPr>
                <w:lang w:val="fr-FR"/>
              </w:rPr>
              <w:t>étendue et la composition du milieu professionnel dans lequel les faits vont se dérouler.</w:t>
            </w:r>
          </w:p>
        </w:tc>
      </w:tr>
      <w:tr w:rsidR="003406F3" w:rsidRPr="003406F3" w14:paraId="5AA3C4AD" w14:textId="77777777" w:rsidTr="00530280">
        <w:trPr>
          <w:trHeight w:val="3158"/>
        </w:trPr>
        <w:tc>
          <w:tcPr>
            <w:tcW w:w="1615" w:type="dxa"/>
            <w:vAlign w:val="center"/>
          </w:tcPr>
          <w:p w14:paraId="07F9F799" w14:textId="6AAA0A59" w:rsidR="00A00A58" w:rsidRPr="00530280" w:rsidRDefault="007A5560" w:rsidP="0064694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10 à 14</w:t>
            </w:r>
          </w:p>
        </w:tc>
        <w:tc>
          <w:tcPr>
            <w:tcW w:w="7395" w:type="dxa"/>
            <w:gridSpan w:val="2"/>
            <w:vAlign w:val="center"/>
          </w:tcPr>
          <w:p w14:paraId="0D277BB4" w14:textId="76A2C3CD" w:rsidR="00B12C44" w:rsidRDefault="00545E08" w:rsidP="00530280">
            <w:pPr>
              <w:pStyle w:val="Sous-titre"/>
              <w:spacing w:beforeLines="20" w:before="48" w:afterLines="120" w:after="288" w:line="280" w:lineRule="exact"/>
              <w:rPr>
                <w:rFonts w:ascii="Verdana" w:eastAsia="Times New Roman" w:hAnsi="Verdana"/>
                <w:color w:val="auto"/>
                <w:szCs w:val="18"/>
              </w:rPr>
            </w:pPr>
            <w:r w:rsidRPr="00530280">
              <w:rPr>
                <w:rFonts w:ascii="Verdana" w:eastAsia="Times New Roman" w:hAnsi="Verdana"/>
                <w:color w:val="auto"/>
                <w:szCs w:val="18"/>
                <w:lang w:val="fr-FR"/>
              </w:rPr>
              <w:t>Des entreprises et des pays fictifs ont été créés aux fins de la formation.</w:t>
            </w:r>
            <w:r w:rsidR="00B12C44" w:rsidRPr="00530280">
              <w:rPr>
                <w:rFonts w:ascii="Verdana" w:eastAsia="Times New Roman" w:hAnsi="Verdana"/>
                <w:color w:val="auto"/>
                <w:szCs w:val="18"/>
              </w:rPr>
              <w:t xml:space="preserve"> </w:t>
            </w:r>
            <w:r w:rsidRPr="00530280">
              <w:rPr>
                <w:rFonts w:ascii="Verdana" w:eastAsia="Times New Roman" w:hAnsi="Verdana"/>
                <w:color w:val="auto"/>
                <w:szCs w:val="18"/>
                <w:lang w:val="fr-FR"/>
              </w:rPr>
              <w:t>Ce sont notamment Atlantis, Norland, Ostland et Westland.</w:t>
            </w:r>
            <w:r w:rsidR="00B12C44" w:rsidRPr="00530280">
              <w:rPr>
                <w:rFonts w:ascii="Verdana" w:eastAsia="Times New Roman" w:hAnsi="Verdana"/>
                <w:color w:val="auto"/>
                <w:szCs w:val="18"/>
              </w:rPr>
              <w:t xml:space="preserve"> </w:t>
            </w:r>
            <w:r w:rsidRPr="00530280">
              <w:rPr>
                <w:rFonts w:ascii="Verdana" w:eastAsia="Times New Roman" w:hAnsi="Verdana"/>
                <w:color w:val="auto"/>
                <w:szCs w:val="18"/>
                <w:lang w:val="fr-FR"/>
              </w:rPr>
              <w:t>Aux fins de l</w:t>
            </w:r>
            <w:r w:rsidR="0064694A">
              <w:rPr>
                <w:rFonts w:ascii="Verdana" w:eastAsia="Times New Roman" w:hAnsi="Verdana"/>
                <w:color w:val="auto"/>
                <w:szCs w:val="18"/>
                <w:lang w:val="fr-FR"/>
              </w:rPr>
              <w:t>’</w:t>
            </w:r>
            <w:r w:rsidRPr="00530280">
              <w:rPr>
                <w:rFonts w:ascii="Verdana" w:eastAsia="Times New Roman" w:hAnsi="Verdana"/>
                <w:color w:val="auto"/>
                <w:szCs w:val="18"/>
                <w:lang w:val="fr-FR"/>
              </w:rPr>
              <w:t>exercice, on considère que tous ont ratifié la Convention du Conseil de l</w:t>
            </w:r>
            <w:r w:rsidR="0064694A">
              <w:rPr>
                <w:rFonts w:ascii="Verdana" w:eastAsia="Times New Roman" w:hAnsi="Verdana"/>
                <w:color w:val="auto"/>
                <w:szCs w:val="18"/>
                <w:lang w:val="fr-FR"/>
              </w:rPr>
              <w:t>’</w:t>
            </w:r>
            <w:r w:rsidRPr="00530280">
              <w:rPr>
                <w:rFonts w:ascii="Verdana" w:eastAsia="Times New Roman" w:hAnsi="Verdana"/>
                <w:color w:val="auto"/>
                <w:szCs w:val="18"/>
                <w:lang w:val="fr-FR"/>
              </w:rPr>
              <w:t>Europe</w:t>
            </w:r>
            <w:r w:rsidR="0064694A">
              <w:rPr>
                <w:rFonts w:ascii="Verdana" w:eastAsia="Times New Roman" w:hAnsi="Verdana"/>
                <w:color w:val="auto"/>
                <w:szCs w:val="18"/>
                <w:lang w:val="fr-FR"/>
              </w:rPr>
              <w:t xml:space="preserve"> </w:t>
            </w:r>
            <w:r w:rsidRPr="00530280">
              <w:rPr>
                <w:rFonts w:ascii="Verdana" w:eastAsia="Times New Roman" w:hAnsi="Verdana"/>
                <w:color w:val="auto"/>
                <w:szCs w:val="18"/>
                <w:lang w:val="fr-FR"/>
              </w:rPr>
              <w:t>sur la cybercriminalité (« Convention de Budapest »).</w:t>
            </w:r>
          </w:p>
          <w:p w14:paraId="1C4CEC8A" w14:textId="0BA7C9B8" w:rsidR="003406F3" w:rsidRDefault="00545E08" w:rsidP="00530280">
            <w:pPr>
              <w:pStyle w:val="Sous-titre"/>
              <w:spacing w:beforeLines="20" w:before="48" w:afterLines="120" w:after="288" w:line="280" w:lineRule="exact"/>
              <w:rPr>
                <w:rFonts w:ascii="Verdana" w:eastAsia="Times New Roman" w:hAnsi="Verdana"/>
                <w:color w:val="auto"/>
                <w:szCs w:val="18"/>
              </w:rPr>
            </w:pPr>
            <w:r w:rsidRPr="00530280">
              <w:rPr>
                <w:rFonts w:ascii="Verdana" w:eastAsia="Times New Roman" w:hAnsi="Verdana"/>
                <w:color w:val="auto"/>
                <w:szCs w:val="18"/>
                <w:lang w:val="fr-FR"/>
              </w:rPr>
              <w:t>Cette approche devrait permettre d</w:t>
            </w:r>
            <w:r w:rsidR="0064694A">
              <w:rPr>
                <w:rFonts w:ascii="Verdana" w:eastAsia="Times New Roman" w:hAnsi="Verdana"/>
                <w:color w:val="auto"/>
                <w:szCs w:val="18"/>
                <w:lang w:val="fr-FR"/>
              </w:rPr>
              <w:t>’</w:t>
            </w:r>
            <w:r w:rsidRPr="00530280">
              <w:rPr>
                <w:rFonts w:ascii="Verdana" w:eastAsia="Times New Roman" w:hAnsi="Verdana"/>
                <w:color w:val="auto"/>
                <w:szCs w:val="18"/>
                <w:lang w:val="fr-FR"/>
              </w:rPr>
              <w:t>organiser la formation dans différents pays sans devoir modifier notablement les supports de formation.</w:t>
            </w:r>
          </w:p>
          <w:p w14:paraId="1B9C6A39" w14:textId="5D3E8363" w:rsidR="00B12C44" w:rsidRPr="00B12C44" w:rsidRDefault="00545E08" w:rsidP="0064694A">
            <w:pPr>
              <w:rPr>
                <w:lang w:val="en-US"/>
              </w:rPr>
            </w:pPr>
            <w:r w:rsidRPr="00530280">
              <w:rPr>
                <w:lang w:val="fr-FR"/>
              </w:rPr>
              <w:t xml:space="preserve">Les éléments financiers </w:t>
            </w:r>
            <w:r w:rsidR="00530280" w:rsidRPr="00530280">
              <w:rPr>
                <w:lang w:val="fr-FR"/>
              </w:rPr>
              <w:t xml:space="preserve">indiquent </w:t>
            </w:r>
            <w:r w:rsidRPr="00530280">
              <w:rPr>
                <w:lang w:val="fr-FR"/>
              </w:rPr>
              <w:t>que le premier virement bancaire n</w:t>
            </w:r>
            <w:r w:rsidR="0064694A">
              <w:rPr>
                <w:lang w:val="fr-FR"/>
              </w:rPr>
              <w:t>’</w:t>
            </w:r>
            <w:r w:rsidRPr="00530280">
              <w:rPr>
                <w:lang w:val="fr-FR"/>
              </w:rPr>
              <w:t>a pas posé problème et qu</w:t>
            </w:r>
            <w:r w:rsidR="0064694A">
              <w:rPr>
                <w:lang w:val="fr-FR"/>
              </w:rPr>
              <w:t>’</w:t>
            </w:r>
            <w:r w:rsidRPr="00530280">
              <w:rPr>
                <w:lang w:val="fr-FR"/>
              </w:rPr>
              <w:t>il s</w:t>
            </w:r>
            <w:r w:rsidR="0064694A">
              <w:rPr>
                <w:lang w:val="fr-FR"/>
              </w:rPr>
              <w:t>’</w:t>
            </w:r>
            <w:r w:rsidRPr="00530280">
              <w:rPr>
                <w:lang w:val="fr-FR"/>
              </w:rPr>
              <w:t>agissait d</w:t>
            </w:r>
            <w:r w:rsidR="0064694A">
              <w:rPr>
                <w:lang w:val="fr-FR"/>
              </w:rPr>
              <w:t>’</w:t>
            </w:r>
            <w:r w:rsidRPr="00530280">
              <w:rPr>
                <w:lang w:val="fr-FR"/>
              </w:rPr>
              <w:t>un virement international et non national, comme le montre la mention des identifiants SWIFT et IBAN.</w:t>
            </w:r>
          </w:p>
        </w:tc>
      </w:tr>
      <w:tr w:rsidR="00DB09DC" w:rsidRPr="003406F3" w14:paraId="29253992" w14:textId="77777777" w:rsidTr="00530280">
        <w:trPr>
          <w:trHeight w:val="1340"/>
        </w:trPr>
        <w:tc>
          <w:tcPr>
            <w:tcW w:w="1615" w:type="dxa"/>
            <w:vAlign w:val="center"/>
          </w:tcPr>
          <w:p w14:paraId="7CB27A05" w14:textId="1D6878B5" w:rsidR="00DB09DC" w:rsidRPr="00530280" w:rsidRDefault="003056F9" w:rsidP="0064694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21 à 25</w:t>
            </w:r>
          </w:p>
        </w:tc>
        <w:tc>
          <w:tcPr>
            <w:tcW w:w="7395" w:type="dxa"/>
            <w:gridSpan w:val="2"/>
            <w:vAlign w:val="center"/>
          </w:tcPr>
          <w:p w14:paraId="3BD5B921" w14:textId="20D1E660" w:rsidR="00B12C44" w:rsidRPr="00530280" w:rsidRDefault="003056F9" w:rsidP="00530280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530280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>Ces diapos présentent le début des investigations.</w:t>
            </w:r>
            <w:r w:rsidR="00B12C44" w:rsidRPr="00530280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530280">
              <w:rPr>
                <w:rFonts w:ascii="Verdana" w:eastAsia="Times New Roman" w:hAnsi="Verdana"/>
                <w:sz w:val="18"/>
                <w:szCs w:val="18"/>
                <w:lang w:val="fr-FR"/>
              </w:rPr>
              <w:t>En groupes d</w:t>
            </w:r>
            <w:r w:rsidR="00530280" w:rsidRPr="00530280">
              <w:rPr>
                <w:rFonts w:ascii="Verdana" w:eastAsia="Times New Roman" w:hAnsi="Verdana"/>
                <w:sz w:val="18"/>
                <w:szCs w:val="18"/>
                <w:lang w:val="fr-FR"/>
              </w:rPr>
              <w:t>e travail, chacun présidé par un participant,</w:t>
            </w:r>
            <w:r w:rsidRPr="00530280">
              <w:rPr>
                <w:rFonts w:ascii="Verdana" w:eastAsia="Times New Roman" w:hAnsi="Verdana"/>
                <w:sz w:val="18"/>
                <w:szCs w:val="18"/>
                <w:lang w:val="fr-FR"/>
              </w:rPr>
              <w:t xml:space="preserve"> les participants commencent à travailler sur le dossier sur la base des éléments qui accompagnent l</w:t>
            </w:r>
            <w:r w:rsidR="0064694A">
              <w:rPr>
                <w:rFonts w:ascii="Verdana" w:eastAsia="Times New Roman" w:hAnsi="Verdana"/>
                <w:sz w:val="18"/>
                <w:szCs w:val="18"/>
                <w:lang w:val="fr-FR"/>
              </w:rPr>
              <w:t>’</w:t>
            </w:r>
            <w:r w:rsidRPr="00530280">
              <w:rPr>
                <w:rFonts w:ascii="Verdana" w:eastAsia="Times New Roman" w:hAnsi="Verdana"/>
                <w:sz w:val="18"/>
                <w:szCs w:val="18"/>
                <w:lang w:val="fr-FR"/>
              </w:rPr>
              <w:t>étude de cas.</w:t>
            </w:r>
          </w:p>
          <w:p w14:paraId="660000A2" w14:textId="424346CE" w:rsidR="00B12C44" w:rsidRPr="00B12C44" w:rsidRDefault="003056F9" w:rsidP="0064694A">
            <w:pPr>
              <w:spacing w:before="120" w:after="120" w:line="280" w:lineRule="exact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530280">
              <w:rPr>
                <w:rFonts w:ascii="Verdana" w:eastAsia="Times New Roman" w:hAnsi="Verdana" w:cs="Times New Roman"/>
                <w:sz w:val="18"/>
                <w:szCs w:val="18"/>
                <w:lang w:val="fr-FR"/>
              </w:rPr>
              <w:t>Les preuves électroniques devraient être étudiées et utilisées comme un outil essentiel pour mener et conclure les investigations et préparer le dossier en vue du procès.</w:t>
            </w:r>
          </w:p>
        </w:tc>
      </w:tr>
      <w:tr w:rsidR="00A6245A" w:rsidRPr="003406F3" w14:paraId="3BDF02D6" w14:textId="77777777" w:rsidTr="00530280">
        <w:trPr>
          <w:trHeight w:val="2015"/>
        </w:trPr>
        <w:tc>
          <w:tcPr>
            <w:tcW w:w="1615" w:type="dxa"/>
            <w:vAlign w:val="center"/>
          </w:tcPr>
          <w:p w14:paraId="579E5A44" w14:textId="7F3ABA1B" w:rsidR="00A6245A" w:rsidRPr="00530280" w:rsidRDefault="003056F9" w:rsidP="0064694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26 à 27</w:t>
            </w:r>
          </w:p>
        </w:tc>
        <w:tc>
          <w:tcPr>
            <w:tcW w:w="7395" w:type="dxa"/>
            <w:gridSpan w:val="2"/>
            <w:vAlign w:val="center"/>
          </w:tcPr>
          <w:p w14:paraId="274809E3" w14:textId="2A001E82" w:rsidR="00A6245A" w:rsidRDefault="003056F9" w:rsidP="00530280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Synthèse.</w:t>
            </w:r>
          </w:p>
          <w:p w14:paraId="2068EBF7" w14:textId="619F3A9D" w:rsidR="005F385C" w:rsidRDefault="003056F9" w:rsidP="00530280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Il est conseillé de passer en revue les étapes précédentes, en laissant aux participants le temps de poser des questions et d</w:t>
            </w:r>
            <w:r w:rsidR="0064694A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assimiler les liens entre le scénario et la réalité.</w:t>
            </w:r>
          </w:p>
          <w:p w14:paraId="70F9D7F7" w14:textId="566043CF" w:rsidR="005F385C" w:rsidRPr="00530280" w:rsidRDefault="00530280" w:rsidP="0064694A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Afin de pouvoir répondre à toutes les questions des participants, l</w:t>
            </w:r>
            <w:r w:rsidR="003056F9" w:rsidRPr="00530280">
              <w:rPr>
                <w:rFonts w:ascii="Verdana" w:hAnsi="Verdana"/>
                <w:sz w:val="18"/>
                <w:szCs w:val="18"/>
                <w:lang w:val="fr-FR"/>
              </w:rPr>
              <w:t>es formateurs devraient très bien connaître à la fois l</w:t>
            </w:r>
            <w:r w:rsidR="0064694A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="003056F9" w:rsidRPr="00530280">
              <w:rPr>
                <w:rFonts w:ascii="Verdana" w:hAnsi="Verdana"/>
                <w:sz w:val="18"/>
                <w:szCs w:val="18"/>
                <w:lang w:val="fr-FR"/>
              </w:rPr>
              <w:t>af</w:t>
            </w: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faire et les procédés utilisés</w:t>
            </w:r>
            <w:r w:rsidR="003056F9" w:rsidRPr="00530280">
              <w:rPr>
                <w:rFonts w:ascii="Verdana" w:hAnsi="Verdana"/>
                <w:sz w:val="18"/>
                <w:szCs w:val="18"/>
                <w:lang w:val="fr-FR"/>
              </w:rPr>
              <w:t>.</w:t>
            </w:r>
          </w:p>
        </w:tc>
      </w:tr>
      <w:tr w:rsidR="003406F3" w:rsidRPr="003406F3" w14:paraId="2ECF09B7" w14:textId="77777777" w:rsidTr="00530280">
        <w:trPr>
          <w:trHeight w:val="1412"/>
        </w:trPr>
        <w:tc>
          <w:tcPr>
            <w:tcW w:w="9010" w:type="dxa"/>
            <w:gridSpan w:val="3"/>
            <w:vAlign w:val="center"/>
          </w:tcPr>
          <w:p w14:paraId="55ED1F4B" w14:textId="2D5CE114" w:rsidR="00CB3026" w:rsidRPr="00530280" w:rsidRDefault="003056F9" w:rsidP="00530280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 w:rsidRPr="00530280">
              <w:rPr>
                <w:rFonts w:ascii="Verdana" w:hAnsi="Verdana"/>
                <w:b/>
                <w:sz w:val="22"/>
                <w:szCs w:val="22"/>
                <w:lang w:val="fr-FR"/>
              </w:rPr>
              <w:t>Exercices pratiques</w:t>
            </w:r>
          </w:p>
          <w:p w14:paraId="04D65D89" w14:textId="5EC1DCAE" w:rsidR="00CB3026" w:rsidRPr="00530280" w:rsidRDefault="003056F9" w:rsidP="0064694A">
            <w:pPr>
              <w:spacing w:before="120" w:after="120" w:line="280" w:lineRule="exact"/>
              <w:rPr>
                <w:rFonts w:ascii="Verdana" w:hAnsi="Verdana"/>
                <w:sz w:val="18"/>
                <w:szCs w:val="18"/>
              </w:rPr>
            </w:pP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Aucun exercice pratique n</w:t>
            </w:r>
            <w:r w:rsidR="0064694A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est prévu pour ce cours.</w:t>
            </w:r>
          </w:p>
        </w:tc>
      </w:tr>
      <w:tr w:rsidR="003406F3" w:rsidRPr="003406F3" w14:paraId="603967A2" w14:textId="77777777" w:rsidTr="00511959">
        <w:tc>
          <w:tcPr>
            <w:tcW w:w="9010" w:type="dxa"/>
            <w:gridSpan w:val="3"/>
            <w:vAlign w:val="center"/>
          </w:tcPr>
          <w:p w14:paraId="57B48D1E" w14:textId="301BEBD9" w:rsidR="00CB3026" w:rsidRPr="00530280" w:rsidRDefault="003056F9" w:rsidP="00530280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 w:rsidRPr="00530280">
              <w:rPr>
                <w:rFonts w:ascii="Verdana" w:hAnsi="Verdana"/>
                <w:b/>
                <w:sz w:val="22"/>
                <w:szCs w:val="22"/>
                <w:lang w:val="fr-FR"/>
              </w:rPr>
              <w:t>Évaluation/Vérification des connaissances</w:t>
            </w:r>
          </w:p>
          <w:p w14:paraId="4496975B" w14:textId="6BFF36FE" w:rsidR="00CB3026" w:rsidRPr="00530280" w:rsidRDefault="003056F9" w:rsidP="0064694A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Aucune évaluation formelle n</w:t>
            </w:r>
            <w:r w:rsidR="0064694A">
              <w:rPr>
                <w:rFonts w:ascii="Verdana" w:hAnsi="Verdana"/>
                <w:sz w:val="18"/>
                <w:szCs w:val="18"/>
                <w:lang w:val="fr-FR"/>
              </w:rPr>
              <w:t>’</w:t>
            </w: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a été préparée pour ce cours.</w:t>
            </w:r>
            <w:r w:rsidR="00B468A3" w:rsidRPr="0053028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30280">
              <w:rPr>
                <w:rFonts w:ascii="Verdana" w:hAnsi="Verdana"/>
                <w:sz w:val="18"/>
                <w:szCs w:val="18"/>
                <w:lang w:val="fr-FR"/>
              </w:rPr>
              <w:t>Les formateurs sont encouragés à vérifier les connaissances des participants en les interrogeant sur des points pertinents au fil d</w:t>
            </w:r>
            <w:r w:rsidR="002E5EF8" w:rsidRPr="00530280">
              <w:rPr>
                <w:rFonts w:ascii="Verdana" w:hAnsi="Verdana"/>
                <w:sz w:val="18"/>
                <w:szCs w:val="18"/>
                <w:lang w:val="fr-FR"/>
              </w:rPr>
              <w:t>e la session.</w:t>
            </w:r>
          </w:p>
        </w:tc>
      </w:tr>
    </w:tbl>
    <w:p w14:paraId="15498912" w14:textId="77777777" w:rsidR="00D82C18" w:rsidRPr="003406F3" w:rsidRDefault="00D82C18">
      <w:pPr>
        <w:rPr>
          <w:rFonts w:ascii="Verdana" w:hAnsi="Verdana"/>
        </w:rPr>
      </w:pPr>
    </w:p>
    <w:sectPr w:rsidR="00D82C18" w:rsidRPr="003406F3" w:rsidSect="00E95703">
      <w:pgSz w:w="11900" w:h="16840"/>
      <w:pgMar w:top="78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C1228" w14:textId="77777777" w:rsidR="0064694A" w:rsidRDefault="0064694A" w:rsidP="0064694A">
      <w:r>
        <w:separator/>
      </w:r>
    </w:p>
  </w:endnote>
  <w:endnote w:type="continuationSeparator" w:id="0">
    <w:p w14:paraId="460C25D0" w14:textId="77777777" w:rsidR="0064694A" w:rsidRDefault="0064694A" w:rsidP="0064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Bold">
    <w:altName w:val="Tahoma"/>
    <w:charset w:val="00"/>
    <w:family w:val="auto"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1E9A7" w14:textId="77777777" w:rsidR="0064694A" w:rsidRDefault="0064694A" w:rsidP="0064694A">
      <w:r>
        <w:separator/>
      </w:r>
    </w:p>
  </w:footnote>
  <w:footnote w:type="continuationSeparator" w:id="0">
    <w:p w14:paraId="4819411D" w14:textId="77777777" w:rsidR="0064694A" w:rsidRDefault="0064694A" w:rsidP="0064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0D2B26"/>
    <w:multiLevelType w:val="hybridMultilevel"/>
    <w:tmpl w:val="2A984D58"/>
    <w:lvl w:ilvl="0" w:tplc="79008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64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43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41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E8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C0B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E85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266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23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56760"/>
    <w:multiLevelType w:val="hybridMultilevel"/>
    <w:tmpl w:val="422E3502"/>
    <w:lvl w:ilvl="0" w:tplc="F5E88D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A0F5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DE71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D279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686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A438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00D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B2D9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EC8F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18"/>
    <w:rsid w:val="0003565B"/>
    <w:rsid w:val="0009793B"/>
    <w:rsid w:val="000F1014"/>
    <w:rsid w:val="00105DD4"/>
    <w:rsid w:val="00175ADE"/>
    <w:rsid w:val="00185B76"/>
    <w:rsid w:val="001A51A7"/>
    <w:rsid w:val="001B13B0"/>
    <w:rsid w:val="001B428D"/>
    <w:rsid w:val="001B5DAD"/>
    <w:rsid w:val="001E5137"/>
    <w:rsid w:val="00271010"/>
    <w:rsid w:val="0027512B"/>
    <w:rsid w:val="002E5EF8"/>
    <w:rsid w:val="002F375E"/>
    <w:rsid w:val="003056F9"/>
    <w:rsid w:val="003406F3"/>
    <w:rsid w:val="003630ED"/>
    <w:rsid w:val="00397FEA"/>
    <w:rsid w:val="003E0EDB"/>
    <w:rsid w:val="004639E3"/>
    <w:rsid w:val="0051122C"/>
    <w:rsid w:val="00511959"/>
    <w:rsid w:val="00530280"/>
    <w:rsid w:val="00534FB7"/>
    <w:rsid w:val="00545E08"/>
    <w:rsid w:val="005703B7"/>
    <w:rsid w:val="00594B3F"/>
    <w:rsid w:val="005951B6"/>
    <w:rsid w:val="00596AA5"/>
    <w:rsid w:val="005A4E47"/>
    <w:rsid w:val="005F385C"/>
    <w:rsid w:val="0064694A"/>
    <w:rsid w:val="006B6864"/>
    <w:rsid w:val="006C6DDD"/>
    <w:rsid w:val="007169BB"/>
    <w:rsid w:val="00721699"/>
    <w:rsid w:val="007514CB"/>
    <w:rsid w:val="00761BA4"/>
    <w:rsid w:val="007A5560"/>
    <w:rsid w:val="007B75A9"/>
    <w:rsid w:val="007D628A"/>
    <w:rsid w:val="00823B30"/>
    <w:rsid w:val="008738A4"/>
    <w:rsid w:val="008B39AF"/>
    <w:rsid w:val="008E161D"/>
    <w:rsid w:val="008E3FE7"/>
    <w:rsid w:val="009277BD"/>
    <w:rsid w:val="0094072C"/>
    <w:rsid w:val="00A00A58"/>
    <w:rsid w:val="00A03CF0"/>
    <w:rsid w:val="00A4110D"/>
    <w:rsid w:val="00A60CE6"/>
    <w:rsid w:val="00A6245A"/>
    <w:rsid w:val="00A734A5"/>
    <w:rsid w:val="00AF62EC"/>
    <w:rsid w:val="00B03741"/>
    <w:rsid w:val="00B12C44"/>
    <w:rsid w:val="00B468A3"/>
    <w:rsid w:val="00B569A5"/>
    <w:rsid w:val="00B57E5B"/>
    <w:rsid w:val="00B71D66"/>
    <w:rsid w:val="00C05A37"/>
    <w:rsid w:val="00C541A2"/>
    <w:rsid w:val="00CB02C4"/>
    <w:rsid w:val="00CB3026"/>
    <w:rsid w:val="00CF0C7C"/>
    <w:rsid w:val="00D40071"/>
    <w:rsid w:val="00D52AB7"/>
    <w:rsid w:val="00D66094"/>
    <w:rsid w:val="00D82C18"/>
    <w:rsid w:val="00D944B5"/>
    <w:rsid w:val="00DB09DC"/>
    <w:rsid w:val="00E13BE7"/>
    <w:rsid w:val="00E17E67"/>
    <w:rsid w:val="00E2062A"/>
    <w:rsid w:val="00E522ED"/>
    <w:rsid w:val="00E55549"/>
    <w:rsid w:val="00E7344B"/>
    <w:rsid w:val="00E95703"/>
    <w:rsid w:val="00F35B67"/>
    <w:rsid w:val="00F62A15"/>
    <w:rsid w:val="00FC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7C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de-DE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de-DE" w:eastAsia="de-DE"/>
    </w:rPr>
  </w:style>
  <w:style w:type="character" w:styleId="Lienhypertexte">
    <w:name w:val="Hyperlink"/>
    <w:basedOn w:val="Policepardfaut"/>
    <w:uiPriority w:val="99"/>
    <w:unhideWhenUsed/>
    <w:rsid w:val="005703B7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ous-titreCar">
    <w:name w:val="Sous-titre Car"/>
    <w:basedOn w:val="Policepardfaut"/>
    <w:link w:val="Sous-titr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paragraph" w:styleId="NormalWeb">
    <w:name w:val="Normal (Web)"/>
    <w:basedOn w:val="Normal"/>
    <w:uiPriority w:val="99"/>
    <w:semiHidden/>
    <w:unhideWhenUsed/>
    <w:rsid w:val="00D660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469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694A"/>
  </w:style>
  <w:style w:type="paragraph" w:styleId="Pieddepage">
    <w:name w:val="footer"/>
    <w:basedOn w:val="Normal"/>
    <w:link w:val="PieddepageCar"/>
    <w:uiPriority w:val="99"/>
    <w:unhideWhenUsed/>
    <w:rsid w:val="006469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69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de-DE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de-DE" w:eastAsia="de-DE"/>
    </w:rPr>
  </w:style>
  <w:style w:type="character" w:styleId="Lienhypertexte">
    <w:name w:val="Hyperlink"/>
    <w:basedOn w:val="Policepardfaut"/>
    <w:uiPriority w:val="99"/>
    <w:unhideWhenUsed/>
    <w:rsid w:val="005703B7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ous-titreCar">
    <w:name w:val="Sous-titre Car"/>
    <w:basedOn w:val="Policepardfaut"/>
    <w:link w:val="Sous-titr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paragraph" w:styleId="NormalWeb">
    <w:name w:val="Normal (Web)"/>
    <w:basedOn w:val="Normal"/>
    <w:uiPriority w:val="99"/>
    <w:semiHidden/>
    <w:unhideWhenUsed/>
    <w:rsid w:val="00D660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469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694A"/>
  </w:style>
  <w:style w:type="paragraph" w:styleId="Pieddepage">
    <w:name w:val="footer"/>
    <w:basedOn w:val="Normal"/>
    <w:link w:val="PieddepageCar"/>
    <w:uiPriority w:val="99"/>
    <w:unhideWhenUsed/>
    <w:rsid w:val="006469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6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1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3726</Characters>
  <Application>Microsoft Office Word</Application>
  <DocSecurity>0</DocSecurity>
  <Lines>31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Nigel (nigel.jones@canterbury.ac.uk)</dc:creator>
  <cp:lastModifiedBy>Magali</cp:lastModifiedBy>
  <cp:revision>4</cp:revision>
  <cp:lastPrinted>2018-05-03T14:24:00Z</cp:lastPrinted>
  <dcterms:created xsi:type="dcterms:W3CDTF">2018-05-22T08:47:00Z</dcterms:created>
  <dcterms:modified xsi:type="dcterms:W3CDTF">2018-05-22T08:49:00Z</dcterms:modified>
</cp:coreProperties>
</file>