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A2" w:rsidRDefault="00EF158F">
      <w:pPr>
        <w:rPr>
          <w:rFonts w:ascii="Verdana" w:hAnsi="Verdana" w:cstheme="minorBidi"/>
          <w:b/>
          <w:sz w:val="32"/>
        </w:rPr>
      </w:pPr>
      <w:r>
        <w:rPr>
          <w:rFonts w:ascii="Verdana" w:hAnsi="Verdana" w:cstheme="minorBidi"/>
          <w:b/>
          <w:noProof/>
          <w:sz w:val="32"/>
        </w:rPr>
        <w:t>P</w:t>
      </w:r>
      <w:r w:rsidR="00BD6E6D">
        <w:rPr>
          <w:rFonts w:ascii="Verdana" w:hAnsi="Verdana" w:cstheme="minorBidi"/>
          <w:b/>
          <w:noProof/>
          <w:sz w:val="32"/>
        </w:rPr>
        <w:t>lan de leçon</w:t>
      </w:r>
    </w:p>
    <w:p w:rsidR="00F664A2" w:rsidRDefault="00F664A2">
      <w:pPr>
        <w:rPr>
          <w:rFonts w:ascii="Verdana" w:hAnsi="Verdana" w:cstheme="minorBidi"/>
        </w:rPr>
      </w:pPr>
    </w:p>
    <w:p w:rsidR="00F664A2" w:rsidRDefault="00BD6E6D">
      <w:pPr>
        <w:rPr>
          <w:rFonts w:ascii="Verdana" w:hAnsi="Verdana" w:cstheme="minorBidi"/>
          <w:b/>
          <w:sz w:val="22"/>
        </w:rPr>
      </w:pPr>
      <w:r>
        <w:rPr>
          <w:rFonts w:ascii="Verdana" w:hAnsi="Verdana" w:cstheme="minorBidi"/>
          <w:noProof/>
          <w:sz w:val="28"/>
        </w:rPr>
        <w:t>Leçon x.x.x (</w:t>
      </w:r>
      <w:r w:rsidR="003263EA">
        <w:rPr>
          <w:rFonts w:ascii="Verdana" w:hAnsi="Verdana" w:cstheme="minorBidi"/>
          <w:noProof/>
          <w:sz w:val="28"/>
        </w:rPr>
        <w:t>E</w:t>
      </w:r>
      <w:r>
        <w:rPr>
          <w:rFonts w:ascii="Verdana" w:hAnsi="Verdana" w:cstheme="minorBidi"/>
          <w:noProof/>
          <w:sz w:val="28"/>
        </w:rPr>
        <w:t>laboration des demandes)</w:t>
      </w:r>
    </w:p>
    <w:p w:rsidR="00F664A2" w:rsidRDefault="00F664A2">
      <w:pPr>
        <w:ind w:left="720"/>
        <w:rPr>
          <w:rFonts w:ascii="Verdana" w:hAnsi="Verdana" w:cstheme="minorBid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433"/>
        <w:gridCol w:w="2684"/>
      </w:tblGrid>
      <w:tr w:rsidR="00F664A2">
        <w:trPr>
          <w:trHeight w:val="872"/>
        </w:trPr>
        <w:tc>
          <w:tcPr>
            <w:tcW w:w="6384" w:type="dxa"/>
            <w:gridSpan w:val="2"/>
            <w:shd w:val="clear" w:color="auto" w:fill="DEEAF6"/>
            <w:vAlign w:val="center"/>
          </w:tcPr>
          <w:p w:rsidR="00F664A2" w:rsidRDefault="00BD6E6D" w:rsidP="003263EA">
            <w:pPr>
              <w:rPr>
                <w:rFonts w:ascii="Verdana" w:hAnsi="Verdana" w:cstheme="minorBidi"/>
                <w:sz w:val="22"/>
              </w:rPr>
            </w:pPr>
            <w:r>
              <w:rPr>
                <w:rFonts w:ascii="Verdana" w:hAnsi="Verdana" w:cstheme="minorBidi"/>
                <w:noProof/>
                <w:sz w:val="22"/>
              </w:rPr>
              <w:t>Leçon x.x.x (</w:t>
            </w:r>
            <w:r w:rsidR="003263EA">
              <w:rPr>
                <w:rFonts w:ascii="Verdana" w:hAnsi="Verdana" w:cstheme="minorBidi"/>
                <w:noProof/>
                <w:sz w:val="22"/>
              </w:rPr>
              <w:t>E</w:t>
            </w:r>
            <w:r>
              <w:rPr>
                <w:rFonts w:ascii="Verdana" w:hAnsi="Verdana" w:cstheme="minorBidi"/>
                <w:noProof/>
                <w:sz w:val="22"/>
              </w:rPr>
              <w:t>laboration des demandes)</w:t>
            </w:r>
          </w:p>
        </w:tc>
        <w:tc>
          <w:tcPr>
            <w:tcW w:w="2684" w:type="dxa"/>
            <w:shd w:val="clear" w:color="auto" w:fill="DEEAF6"/>
            <w:vAlign w:val="center"/>
          </w:tcPr>
          <w:p w:rsidR="00F664A2" w:rsidRDefault="00BD6E6D">
            <w:pPr>
              <w:rPr>
                <w:rFonts w:ascii="Verdana" w:hAnsi="Verdana" w:cstheme="minorBidi"/>
                <w:sz w:val="22"/>
              </w:rPr>
            </w:pPr>
            <w:r>
              <w:rPr>
                <w:rFonts w:ascii="Verdana" w:hAnsi="Verdana" w:cstheme="minorBidi"/>
                <w:noProof/>
                <w:sz w:val="22"/>
              </w:rPr>
              <w:t>Durée</w:t>
            </w:r>
            <w:r w:rsidR="006A64AB">
              <w:rPr>
                <w:rFonts w:ascii="Verdana" w:hAnsi="Verdana" w:cstheme="minorBidi"/>
                <w:noProof/>
                <w:sz w:val="22"/>
              </w:rPr>
              <w:t> </w:t>
            </w:r>
            <w:r>
              <w:rPr>
                <w:rFonts w:ascii="Verdana" w:hAnsi="Verdana" w:cstheme="minorBidi"/>
                <w:noProof/>
                <w:sz w:val="22"/>
              </w:rPr>
              <w:t>:</w:t>
            </w:r>
            <w:r>
              <w:rPr>
                <w:rFonts w:ascii="Verdana" w:hAnsi="Verdana" w:cstheme="minorBidi"/>
                <w:sz w:val="22"/>
              </w:rPr>
              <w:t xml:space="preserve"> </w:t>
            </w:r>
            <w:r>
              <w:rPr>
                <w:rFonts w:ascii="Verdana" w:hAnsi="Verdana" w:cstheme="minorBidi"/>
                <w:noProof/>
                <w:sz w:val="22"/>
              </w:rPr>
              <w:t>120 minutes</w:t>
            </w:r>
          </w:p>
        </w:tc>
      </w:tr>
      <w:tr w:rsidR="00F664A2">
        <w:trPr>
          <w:trHeight w:val="1025"/>
        </w:trPr>
        <w:tc>
          <w:tcPr>
            <w:tcW w:w="9068" w:type="dxa"/>
            <w:gridSpan w:val="3"/>
            <w:vAlign w:val="center"/>
          </w:tcPr>
          <w:p w:rsidR="00F664A2" w:rsidRDefault="00BD6E6D">
            <w:pPr>
              <w:spacing w:before="120" w:after="120" w:line="280" w:lineRule="exact"/>
              <w:rPr>
                <w:rFonts w:ascii="Verdana" w:hAnsi="Verdana" w:cstheme="minorBidi"/>
                <w:b/>
                <w:sz w:val="22"/>
              </w:rPr>
            </w:pPr>
            <w:r>
              <w:rPr>
                <w:rFonts w:ascii="Verdana" w:hAnsi="Verdana" w:cstheme="minorBidi"/>
                <w:b/>
                <w:sz w:val="22"/>
                <w:lang w:val="fr-FR"/>
              </w:rPr>
              <w:t>Ressources nécessaires :</w:t>
            </w:r>
          </w:p>
          <w:p w:rsidR="00F664A2" w:rsidRPr="006A64AB" w:rsidRDefault="00BD6E6D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rFonts w:cstheme="minorBidi"/>
                <w:lang w:val="fr-FR"/>
              </w:rPr>
            </w:pPr>
            <w:r w:rsidRPr="006A64AB">
              <w:rPr>
                <w:rFonts w:cstheme="minorBidi"/>
                <w:lang w:val="fr-FR"/>
              </w:rPr>
              <w:t>PC/ordinateur portable chargé avec des versions de logiciel compati</w:t>
            </w:r>
            <w:r w:rsidR="003F5EB9">
              <w:rPr>
                <w:rFonts w:cstheme="minorBidi"/>
                <w:lang w:val="fr-FR"/>
              </w:rPr>
              <w:t>bles avec les supports de cours</w:t>
            </w:r>
          </w:p>
          <w:p w:rsidR="00F664A2" w:rsidRDefault="00BD6E6D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rFonts w:cstheme="minorBidi"/>
                <w:lang w:val="en-GB"/>
              </w:rPr>
            </w:pPr>
            <w:r>
              <w:rPr>
                <w:rFonts w:cstheme="minorBidi"/>
                <w:lang w:val="fr-FR"/>
              </w:rPr>
              <w:t>Projecteur et écran</w:t>
            </w:r>
          </w:p>
          <w:p w:rsidR="00F664A2" w:rsidRDefault="00BD6E6D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rFonts w:cstheme="minorBidi"/>
                <w:lang w:val="en-GB"/>
              </w:rPr>
            </w:pPr>
            <w:r>
              <w:rPr>
                <w:rFonts w:cstheme="minorBidi"/>
                <w:lang w:val="fr-FR"/>
              </w:rPr>
              <w:t>Accès à internet (si disponible)</w:t>
            </w:r>
            <w:r>
              <w:rPr>
                <w:rFonts w:cstheme="minorBidi"/>
                <w:b/>
                <w:lang w:val="en-GB"/>
              </w:rPr>
              <w:t xml:space="preserve"> </w:t>
            </w:r>
          </w:p>
          <w:p w:rsidR="00F664A2" w:rsidRDefault="00BD6E6D" w:rsidP="00A65A2C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rFonts w:cstheme="minorBidi"/>
                <w:lang w:val="fr-FR"/>
              </w:rPr>
            </w:pPr>
            <w:r>
              <w:rPr>
                <w:rFonts w:cstheme="minorBidi"/>
                <w:lang w:val="fr-FR"/>
              </w:rPr>
              <w:t xml:space="preserve">Du papier et des stylos pour les </w:t>
            </w:r>
            <w:r w:rsidR="00A65A2C">
              <w:rPr>
                <w:rFonts w:cstheme="minorBidi"/>
                <w:lang w:val="fr-FR"/>
              </w:rPr>
              <w:t>stagiaires</w:t>
            </w:r>
            <w:bookmarkStart w:id="0" w:name="_GoBack"/>
            <w:bookmarkEnd w:id="0"/>
          </w:p>
        </w:tc>
      </w:tr>
      <w:tr w:rsidR="00F664A2">
        <w:trPr>
          <w:trHeight w:val="1241"/>
        </w:trPr>
        <w:tc>
          <w:tcPr>
            <w:tcW w:w="9068" w:type="dxa"/>
            <w:gridSpan w:val="3"/>
            <w:vAlign w:val="center"/>
          </w:tcPr>
          <w:p w:rsidR="00F664A2" w:rsidRDefault="00BD6E6D">
            <w:pPr>
              <w:spacing w:before="120" w:after="120" w:line="280" w:lineRule="exact"/>
              <w:rPr>
                <w:rFonts w:ascii="Verdana" w:hAnsi="Verdana" w:cstheme="minorBidi"/>
              </w:rPr>
            </w:pPr>
            <w:r>
              <w:rPr>
                <w:rFonts w:ascii="Verdana" w:hAnsi="Verdana" w:cstheme="minorBidi"/>
                <w:b/>
                <w:sz w:val="22"/>
                <w:lang w:val="fr-FR"/>
              </w:rPr>
              <w:t>Objectif de la session</w:t>
            </w:r>
            <w:r w:rsidR="006A64AB">
              <w:rPr>
                <w:rFonts w:ascii="Verdana" w:hAnsi="Verdana" w:cstheme="minorBidi"/>
                <w:b/>
                <w:sz w:val="22"/>
                <w:lang w:val="fr-FR"/>
              </w:rPr>
              <w:t> </w:t>
            </w:r>
            <w:r>
              <w:rPr>
                <w:rFonts w:ascii="Verdana" w:hAnsi="Verdana" w:cstheme="minorBidi"/>
                <w:b/>
                <w:sz w:val="22"/>
                <w:lang w:val="fr-FR"/>
              </w:rPr>
              <w:t>:</w:t>
            </w:r>
            <w:r>
              <w:rPr>
                <w:rFonts w:ascii="Verdana" w:hAnsi="Verdana" w:cstheme="minorBidi"/>
                <w:b/>
                <w:sz w:val="22"/>
              </w:rPr>
              <w:t xml:space="preserve">  </w:t>
            </w:r>
          </w:p>
          <w:p w:rsidR="00F664A2" w:rsidRDefault="00BD6E6D" w:rsidP="00A65A2C">
            <w:pPr>
              <w:spacing w:before="120" w:after="120" w:line="280" w:lineRule="exact"/>
              <w:jc w:val="both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 xml:space="preserve">L'objectif de cette leçon est de donner aux </w:t>
            </w:r>
            <w:r w:rsidR="00A65A2C">
              <w:rPr>
                <w:rFonts w:ascii="Verdana" w:hAnsi="Verdana" w:cstheme="minorBidi"/>
                <w:sz w:val="18"/>
                <w:lang w:val="fr-FR"/>
              </w:rPr>
              <w:t>stagiaires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 des lignes directrices sur l'élaboration des demandes de permission ou d'autorisation d'exercice de pouvoirs procéduraux relevant de la Convention de Budapest.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>Cette leçon fournit des informations sur ce que les juges doivent rechercher dans de telles demandes.</w:t>
            </w:r>
          </w:p>
        </w:tc>
      </w:tr>
      <w:tr w:rsidR="00F664A2">
        <w:trPr>
          <w:trHeight w:val="2240"/>
        </w:trPr>
        <w:tc>
          <w:tcPr>
            <w:tcW w:w="9068" w:type="dxa"/>
            <w:gridSpan w:val="3"/>
            <w:vAlign w:val="center"/>
          </w:tcPr>
          <w:p w:rsidR="00F664A2" w:rsidRDefault="00BD6E6D">
            <w:pPr>
              <w:spacing w:before="120" w:after="120" w:line="280" w:lineRule="exact"/>
              <w:rPr>
                <w:rFonts w:ascii="Verdana" w:hAnsi="Verdana" w:cstheme="minorBidi"/>
                <w:b/>
                <w:sz w:val="22"/>
              </w:rPr>
            </w:pPr>
            <w:r>
              <w:rPr>
                <w:rFonts w:ascii="Verdana" w:hAnsi="Verdana" w:cstheme="minorBidi"/>
                <w:b/>
                <w:noProof/>
                <w:sz w:val="22"/>
              </w:rPr>
              <w:t>Objectifs</w:t>
            </w:r>
            <w:r w:rsidR="006A64AB">
              <w:rPr>
                <w:rFonts w:ascii="Verdana" w:hAnsi="Verdana" w:cstheme="minorBidi"/>
                <w:b/>
                <w:noProof/>
                <w:sz w:val="22"/>
              </w:rPr>
              <w:t> </w:t>
            </w:r>
            <w:r>
              <w:rPr>
                <w:rFonts w:ascii="Verdana" w:hAnsi="Verdana" w:cstheme="minorBidi"/>
                <w:b/>
                <w:noProof/>
                <w:sz w:val="22"/>
              </w:rPr>
              <w:t>:</w:t>
            </w:r>
          </w:p>
          <w:p w:rsidR="00F664A2" w:rsidRDefault="003F5EB9">
            <w:pPr>
              <w:tabs>
                <w:tab w:val="left" w:pos="426"/>
                <w:tab w:val="left" w:pos="851"/>
              </w:tabs>
              <w:spacing w:before="120" w:line="280" w:lineRule="exact"/>
              <w:contextualSpacing/>
              <w:jc w:val="both"/>
              <w:rPr>
                <w:rFonts w:ascii="Verdana" w:hAnsi="Verdana" w:cstheme="minorBidi"/>
                <w:sz w:val="18"/>
              </w:rPr>
            </w:pPr>
            <w:r>
              <w:rPr>
                <w:rFonts w:ascii="Verdana" w:hAnsi="Verdana" w:cstheme="minorBidi"/>
                <w:sz w:val="18"/>
              </w:rPr>
              <w:t>A</w:t>
            </w:r>
            <w:r w:rsidR="00BD6E6D">
              <w:rPr>
                <w:rFonts w:ascii="Verdana" w:hAnsi="Verdana" w:cstheme="minorBidi"/>
                <w:sz w:val="18"/>
                <w:lang w:val="fr-FR"/>
              </w:rPr>
              <w:t xml:space="preserve"> la fin de cette leçon, les </w:t>
            </w:r>
            <w:r w:rsidR="00A65A2C">
              <w:rPr>
                <w:rFonts w:ascii="Verdana" w:hAnsi="Verdana" w:cstheme="minorBidi"/>
                <w:sz w:val="18"/>
                <w:lang w:val="fr-FR"/>
              </w:rPr>
              <w:t>stagiaires</w:t>
            </w:r>
            <w:r w:rsidR="00BD6E6D">
              <w:rPr>
                <w:rFonts w:ascii="Verdana" w:hAnsi="Verdana" w:cstheme="minorBidi"/>
                <w:sz w:val="18"/>
                <w:lang w:val="fr-FR"/>
              </w:rPr>
              <w:t xml:space="preserve"> </w:t>
            </w:r>
            <w:r w:rsidR="007C195B">
              <w:rPr>
                <w:rFonts w:ascii="Verdana" w:hAnsi="Verdana" w:cstheme="minorBidi"/>
                <w:sz w:val="18"/>
                <w:lang w:val="fr-FR"/>
              </w:rPr>
              <w:t>auront une bonne compréhension </w:t>
            </w:r>
            <w:r w:rsidR="00BD6E6D">
              <w:rPr>
                <w:rFonts w:ascii="Verdana" w:hAnsi="Verdana" w:cstheme="minorBidi"/>
                <w:sz w:val="18"/>
                <w:lang w:val="fr-FR"/>
              </w:rPr>
              <w:t>:</w:t>
            </w:r>
          </w:p>
          <w:p w:rsidR="00F664A2" w:rsidRDefault="007C195B">
            <w:pPr>
              <w:pStyle w:val="bul1"/>
              <w:spacing w:line="280" w:lineRule="exact"/>
              <w:ind w:left="697" w:hanging="360"/>
              <w:rPr>
                <w:rFonts w:cstheme="minorBidi"/>
                <w:lang w:val="en-US"/>
              </w:rPr>
            </w:pPr>
            <w:r>
              <w:rPr>
                <w:rFonts w:cstheme="minorBidi"/>
                <w:lang w:val="fr-FR"/>
              </w:rPr>
              <w:t xml:space="preserve">de divers aspects touchant </w:t>
            </w:r>
            <w:r w:rsidR="00BD6E6D">
              <w:rPr>
                <w:rFonts w:cstheme="minorBidi"/>
                <w:lang w:val="fr-FR"/>
              </w:rPr>
              <w:t>à l'élaboration de</w:t>
            </w:r>
            <w:r w:rsidR="003F5EB9">
              <w:rPr>
                <w:rFonts w:cstheme="minorBidi"/>
                <w:lang w:val="fr-FR"/>
              </w:rPr>
              <w:t>s</w:t>
            </w:r>
            <w:r w:rsidR="00BD6E6D">
              <w:rPr>
                <w:rFonts w:cstheme="minorBidi"/>
                <w:lang w:val="fr-FR"/>
              </w:rPr>
              <w:t xml:space="preserve"> demandes d'exercice de pouvoirs procéduraux en matière de preuves électroniques</w:t>
            </w:r>
          </w:p>
          <w:p w:rsidR="00F664A2" w:rsidRPr="007C195B" w:rsidRDefault="007C195B">
            <w:pPr>
              <w:pStyle w:val="bul1"/>
              <w:spacing w:line="280" w:lineRule="exact"/>
              <w:ind w:left="697" w:hanging="360"/>
              <w:rPr>
                <w:rFonts w:cstheme="minorBidi"/>
                <w:lang w:val="fr-FR"/>
              </w:rPr>
            </w:pPr>
            <w:r>
              <w:rPr>
                <w:rFonts w:cstheme="minorBidi"/>
                <w:lang w:val="fr-FR"/>
              </w:rPr>
              <w:t xml:space="preserve">du </w:t>
            </w:r>
            <w:r w:rsidR="00BD6E6D">
              <w:rPr>
                <w:rFonts w:cstheme="minorBidi"/>
                <w:lang w:val="fr-FR"/>
              </w:rPr>
              <w:t xml:space="preserve">contenu d'une demande type, notamment son champ d'application et sa durée ainsi que d'autres </w:t>
            </w:r>
            <w:r w:rsidR="00BD6E6D" w:rsidRPr="007C195B">
              <w:rPr>
                <w:rFonts w:cstheme="minorBidi"/>
                <w:lang w:val="fr-FR"/>
              </w:rPr>
              <w:t>requêtes</w:t>
            </w:r>
          </w:p>
          <w:p w:rsidR="00F664A2" w:rsidRDefault="007C195B">
            <w:pPr>
              <w:pStyle w:val="bul1"/>
              <w:spacing w:line="280" w:lineRule="exact"/>
              <w:ind w:left="697" w:hanging="360"/>
              <w:contextualSpacing/>
              <w:rPr>
                <w:rFonts w:cstheme="minorBidi"/>
                <w:lang w:val="en-US"/>
              </w:rPr>
            </w:pPr>
            <w:r>
              <w:rPr>
                <w:rFonts w:cstheme="minorBidi"/>
                <w:lang w:val="fr-FR"/>
              </w:rPr>
              <w:t xml:space="preserve">de </w:t>
            </w:r>
            <w:r w:rsidR="00BD6E6D">
              <w:rPr>
                <w:rFonts w:cstheme="minorBidi"/>
                <w:lang w:val="fr-FR"/>
              </w:rPr>
              <w:t>ce qu'il faut examiner dans une demande d'exercice de pouvoirs procéduraux en matière de preuves électroniques</w:t>
            </w:r>
          </w:p>
          <w:p w:rsidR="00F664A2" w:rsidRDefault="007C195B">
            <w:pPr>
              <w:pStyle w:val="bul1"/>
              <w:spacing w:line="280" w:lineRule="exact"/>
              <w:ind w:left="697" w:hanging="360"/>
              <w:contextualSpacing/>
              <w:rPr>
                <w:rFonts w:cstheme="minorBidi"/>
                <w:lang w:val="en-US"/>
              </w:rPr>
            </w:pPr>
            <w:r>
              <w:rPr>
                <w:rFonts w:cstheme="minorBidi"/>
                <w:lang w:val="fr-FR"/>
              </w:rPr>
              <w:t xml:space="preserve">de </w:t>
            </w:r>
            <w:r w:rsidR="00BD6E6D">
              <w:rPr>
                <w:rFonts w:cstheme="minorBidi"/>
                <w:lang w:val="fr-FR"/>
              </w:rPr>
              <w:t>certaines considérations et garanties qu'il faut garder à l'esprit lors de l'élaboration et de l'examen d'une demande d'exercice de pouvoirs procéduraux en matière de preuves électroniques</w:t>
            </w:r>
          </w:p>
        </w:tc>
      </w:tr>
      <w:tr w:rsidR="00F664A2">
        <w:trPr>
          <w:trHeight w:val="530"/>
        </w:trPr>
        <w:tc>
          <w:tcPr>
            <w:tcW w:w="9068" w:type="dxa"/>
            <w:gridSpan w:val="3"/>
            <w:vAlign w:val="center"/>
          </w:tcPr>
          <w:p w:rsidR="00F664A2" w:rsidRDefault="00BD6E6D">
            <w:pPr>
              <w:spacing w:before="120" w:after="120" w:line="280" w:lineRule="exact"/>
              <w:rPr>
                <w:rFonts w:ascii="Verdana" w:hAnsi="Verdana" w:cstheme="minorBidi"/>
                <w:b/>
                <w:sz w:val="22"/>
              </w:rPr>
            </w:pPr>
            <w:r>
              <w:rPr>
                <w:rFonts w:ascii="Verdana" w:hAnsi="Verdana" w:cstheme="minorBidi"/>
                <w:b/>
                <w:sz w:val="22"/>
                <w:lang w:val="fr-FR"/>
              </w:rPr>
              <w:t>Conseils au formateur</w:t>
            </w:r>
            <w:r w:rsidR="006A64AB">
              <w:rPr>
                <w:rFonts w:ascii="Verdana" w:hAnsi="Verdana" w:cstheme="minorBidi"/>
                <w:b/>
                <w:sz w:val="22"/>
                <w:lang w:val="fr-FR"/>
              </w:rPr>
              <w:t> </w:t>
            </w:r>
            <w:r>
              <w:rPr>
                <w:rFonts w:ascii="Verdana" w:hAnsi="Verdana" w:cstheme="minorBidi"/>
                <w:b/>
                <w:sz w:val="22"/>
                <w:lang w:val="fr-FR"/>
              </w:rPr>
              <w:t>:</w:t>
            </w:r>
          </w:p>
          <w:p w:rsidR="00F664A2" w:rsidRDefault="00BD6E6D" w:rsidP="00A65A2C">
            <w:pPr>
              <w:spacing w:before="120" w:after="120" w:line="280" w:lineRule="exact"/>
              <w:jc w:val="both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De nombreuses juridictions exigent que les agents des services de répression, les procureurs ou d'autres personnes appelées à mener des enquêtes dans des affaires d'infractions pénales envoient à une autorité indépendante (judiciaire ou autre) une demande d'autorisation d'exercice de pouvoirs procéduraux.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Le formateur doit expliquer aux </w:t>
            </w:r>
            <w:r w:rsidR="00A65A2C">
              <w:rPr>
                <w:rFonts w:ascii="Verdana" w:hAnsi="Verdana" w:cstheme="minorBidi"/>
                <w:sz w:val="18"/>
                <w:lang w:val="fr-FR"/>
              </w:rPr>
              <w:t>stagiaires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 les divers aspects de l'élaboration des demandes, notamment les éléments de contenu généraux applicables à différents types de pouvoir.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 w:rsidR="007C195B" w:rsidRPr="007C195B">
              <w:rPr>
                <w:rFonts w:ascii="Verdana" w:hAnsi="Verdana" w:cstheme="minorBidi"/>
                <w:sz w:val="18"/>
                <w:lang w:val="fr-FR"/>
              </w:rPr>
              <w:t xml:space="preserve">Pendant cette leçon, il doit également </w:t>
            </w:r>
            <w:r w:rsidR="007C195B">
              <w:rPr>
                <w:rFonts w:ascii="Verdana" w:hAnsi="Verdana" w:cstheme="minorBidi"/>
                <w:sz w:val="18"/>
                <w:lang w:val="fr-FR"/>
              </w:rPr>
              <w:t xml:space="preserve">garder </w:t>
            </w:r>
            <w:r>
              <w:rPr>
                <w:rFonts w:ascii="Verdana" w:hAnsi="Verdana" w:cstheme="minorBidi"/>
                <w:sz w:val="18"/>
                <w:lang w:val="fr-FR"/>
              </w:rPr>
              <w:t>à l'esprit les conditions et les sauvegardes relatives à l'article 15 de la Convention de Budapest.</w:t>
            </w:r>
          </w:p>
        </w:tc>
      </w:tr>
      <w:tr w:rsidR="00F664A2">
        <w:trPr>
          <w:trHeight w:val="701"/>
        </w:trPr>
        <w:tc>
          <w:tcPr>
            <w:tcW w:w="9068" w:type="dxa"/>
            <w:gridSpan w:val="3"/>
            <w:shd w:val="clear" w:color="auto" w:fill="D9E2F3"/>
            <w:vAlign w:val="center"/>
          </w:tcPr>
          <w:p w:rsidR="00F664A2" w:rsidRDefault="00BD6E6D">
            <w:pPr>
              <w:rPr>
                <w:rFonts w:cstheme="minorBidi"/>
              </w:rPr>
            </w:pPr>
            <w:r>
              <w:rPr>
                <w:rFonts w:ascii="Verdana" w:hAnsi="Verdana" w:cstheme="minorBidi"/>
                <w:b/>
                <w:sz w:val="28"/>
                <w:lang w:val="fr-FR"/>
              </w:rPr>
              <w:t>Contenu de la leçon</w:t>
            </w:r>
            <w:r w:rsidR="006A64AB">
              <w:rPr>
                <w:rFonts w:ascii="Verdana" w:hAnsi="Verdana" w:cstheme="minorBidi"/>
                <w:b/>
                <w:sz w:val="28"/>
                <w:lang w:val="fr-FR"/>
              </w:rPr>
              <w:t> </w:t>
            </w:r>
            <w:r>
              <w:rPr>
                <w:rFonts w:ascii="Verdana" w:hAnsi="Verdana" w:cstheme="minorBidi"/>
                <w:b/>
                <w:sz w:val="28"/>
                <w:lang w:val="fr-FR"/>
              </w:rPr>
              <w:t>:</w:t>
            </w:r>
          </w:p>
        </w:tc>
      </w:tr>
      <w:tr w:rsidR="00F664A2">
        <w:trPr>
          <w:trHeight w:val="629"/>
        </w:trPr>
        <w:tc>
          <w:tcPr>
            <w:tcW w:w="1951" w:type="dxa"/>
            <w:shd w:val="clear" w:color="auto" w:fill="D9E2F3"/>
            <w:vAlign w:val="center"/>
          </w:tcPr>
          <w:p w:rsidR="00F664A2" w:rsidRDefault="00BD6E6D">
            <w:pPr>
              <w:jc w:val="center"/>
              <w:rPr>
                <w:rFonts w:ascii="Verdana" w:hAnsi="Verdana" w:cstheme="minorBidi"/>
                <w:b/>
                <w:sz w:val="22"/>
              </w:rPr>
            </w:pPr>
            <w:r>
              <w:rPr>
                <w:rFonts w:ascii="Verdana" w:hAnsi="Verdana" w:cstheme="minorBidi"/>
                <w:b/>
                <w:noProof/>
                <w:sz w:val="22"/>
              </w:rPr>
              <w:t>Numéro du transparent</w:t>
            </w:r>
          </w:p>
        </w:tc>
        <w:tc>
          <w:tcPr>
            <w:tcW w:w="7117" w:type="dxa"/>
            <w:gridSpan w:val="2"/>
            <w:shd w:val="clear" w:color="auto" w:fill="D9E2F3"/>
            <w:vAlign w:val="center"/>
          </w:tcPr>
          <w:p w:rsidR="00F664A2" w:rsidRDefault="00BD6E6D">
            <w:pPr>
              <w:rPr>
                <w:rFonts w:ascii="Verdana" w:hAnsi="Verdana" w:cstheme="minorBidi"/>
                <w:b/>
                <w:sz w:val="22"/>
              </w:rPr>
            </w:pPr>
            <w:r>
              <w:rPr>
                <w:rFonts w:ascii="Verdana" w:hAnsi="Verdana" w:cstheme="minorBidi"/>
                <w:b/>
                <w:noProof/>
                <w:sz w:val="22"/>
              </w:rPr>
              <w:t>Contenu</w:t>
            </w:r>
          </w:p>
        </w:tc>
      </w:tr>
      <w:tr w:rsidR="00F664A2">
        <w:trPr>
          <w:trHeight w:val="530"/>
        </w:trPr>
        <w:tc>
          <w:tcPr>
            <w:tcW w:w="1951" w:type="dxa"/>
            <w:vAlign w:val="center"/>
          </w:tcPr>
          <w:p w:rsidR="00F664A2" w:rsidRDefault="00BD6E6D">
            <w:pPr>
              <w:spacing w:before="120" w:after="120" w:line="280" w:lineRule="exact"/>
              <w:jc w:val="center"/>
              <w:rPr>
                <w:rFonts w:ascii="Verdana" w:hAnsi="Verdana" w:cstheme="minorBidi"/>
                <w:sz w:val="18"/>
              </w:rPr>
            </w:pPr>
            <w:r>
              <w:rPr>
                <w:rFonts w:ascii="Verdana" w:hAnsi="Verdana" w:cstheme="minorBidi"/>
                <w:noProof/>
                <w:sz w:val="18"/>
              </w:rPr>
              <w:t>De 1 à 3</w:t>
            </w:r>
          </w:p>
        </w:tc>
        <w:tc>
          <w:tcPr>
            <w:tcW w:w="7117" w:type="dxa"/>
            <w:gridSpan w:val="2"/>
            <w:vAlign w:val="center"/>
          </w:tcPr>
          <w:p w:rsidR="00F664A2" w:rsidRDefault="00BD6E6D" w:rsidP="00A65A2C">
            <w:pPr>
              <w:tabs>
                <w:tab w:val="left" w:pos="426"/>
                <w:tab w:val="left" w:pos="851"/>
              </w:tabs>
              <w:spacing w:before="120" w:after="120" w:line="280" w:lineRule="exact"/>
              <w:jc w:val="both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Les premiers transparents présentent la structure et les objectifs de la session.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Les </w:t>
            </w:r>
            <w:r w:rsidR="00A65A2C">
              <w:rPr>
                <w:rFonts w:ascii="Verdana" w:hAnsi="Verdana" w:cstheme="minorBidi"/>
                <w:sz w:val="18"/>
                <w:lang w:val="fr-FR"/>
              </w:rPr>
              <w:t>stagiaires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 ont la possibilité de poser toutes les questions qu'ils souhaitent concernant la structure et les objectifs de la session.</w:t>
            </w:r>
          </w:p>
        </w:tc>
      </w:tr>
      <w:tr w:rsidR="00F664A2">
        <w:trPr>
          <w:trHeight w:val="2015"/>
        </w:trPr>
        <w:tc>
          <w:tcPr>
            <w:tcW w:w="1951" w:type="dxa"/>
            <w:vAlign w:val="center"/>
          </w:tcPr>
          <w:p w:rsidR="00F664A2" w:rsidRDefault="00BD6E6D">
            <w:pPr>
              <w:jc w:val="center"/>
              <w:rPr>
                <w:rFonts w:ascii="Verdana" w:hAnsi="Verdana" w:cstheme="minorBidi"/>
                <w:sz w:val="18"/>
              </w:rPr>
            </w:pPr>
            <w:r>
              <w:rPr>
                <w:rFonts w:ascii="Verdana" w:hAnsi="Verdana" w:cstheme="minorBidi"/>
                <w:noProof/>
                <w:sz w:val="18"/>
              </w:rPr>
              <w:lastRenderedPageBreak/>
              <w:t>De 4 à 9</w:t>
            </w:r>
          </w:p>
        </w:tc>
        <w:tc>
          <w:tcPr>
            <w:tcW w:w="7117" w:type="dxa"/>
            <w:gridSpan w:val="2"/>
            <w:vAlign w:val="center"/>
          </w:tcPr>
          <w:p w:rsidR="00F664A2" w:rsidRDefault="00BD6E6D" w:rsidP="0042794C">
            <w:pPr>
              <w:spacing w:before="120" w:after="120" w:line="280" w:lineRule="exact"/>
              <w:jc w:val="both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Ces transparents offrent un récapitulatif de</w:t>
            </w:r>
            <w:r w:rsidR="0042794C">
              <w:rPr>
                <w:rFonts w:ascii="Verdana" w:hAnsi="Verdana" w:cstheme="minorBidi"/>
                <w:sz w:val="18"/>
                <w:lang w:val="fr-FR"/>
              </w:rPr>
              <w:t>s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 aspects fondamentaux de la Convention de Budapest qui présentent un intérêt pour la leçon.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>Ils contiennent une liste des pouvoirs procéduraux relevant de la Convention de Budapest, notamment ceux pour lesquels le droit interne peut exiger l'élaboration d'une demande d'autorisation.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>En outre, le formateur doit utiliser ces transparents pour rappeler certains concepts clés de l'article 15 de la Convention de Budapest.</w:t>
            </w:r>
          </w:p>
        </w:tc>
      </w:tr>
      <w:tr w:rsidR="00F664A2">
        <w:trPr>
          <w:trHeight w:val="557"/>
        </w:trPr>
        <w:tc>
          <w:tcPr>
            <w:tcW w:w="1951" w:type="dxa"/>
            <w:vAlign w:val="center"/>
          </w:tcPr>
          <w:p w:rsidR="00F664A2" w:rsidRDefault="00BD6E6D">
            <w:pPr>
              <w:jc w:val="center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De 10 à 32</w:t>
            </w:r>
          </w:p>
        </w:tc>
        <w:tc>
          <w:tcPr>
            <w:tcW w:w="7117" w:type="dxa"/>
            <w:gridSpan w:val="2"/>
            <w:vAlign w:val="center"/>
          </w:tcPr>
          <w:p w:rsidR="00F664A2" w:rsidRDefault="00BD6E6D" w:rsidP="003F5EB9">
            <w:pPr>
              <w:spacing w:before="120" w:after="120" w:line="280" w:lineRule="exact"/>
              <w:jc w:val="both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Ces transparents concernent le contenu proprement dit de la demande.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Le contenu d'une demande varie en fonction des faits et des circonstances et dépend aussi du pouvoir </w:t>
            </w:r>
            <w:r w:rsidR="003F5EB9">
              <w:rPr>
                <w:rFonts w:ascii="Verdana" w:hAnsi="Verdana" w:cstheme="minorBidi"/>
                <w:sz w:val="18"/>
                <w:lang w:val="fr-FR"/>
              </w:rPr>
              <w:t>procédural dont il est question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. </w:t>
            </w:r>
            <w:r w:rsidR="003F5EB9">
              <w:rPr>
                <w:rFonts w:ascii="Verdana" w:hAnsi="Verdana" w:cstheme="minorBidi"/>
                <w:sz w:val="18"/>
                <w:lang w:val="fr-FR"/>
              </w:rPr>
              <w:t>L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e formateur utilisera </w:t>
            </w:r>
            <w:r w:rsidR="003F5EB9">
              <w:rPr>
                <w:rFonts w:ascii="Verdana" w:hAnsi="Verdana" w:cstheme="minorBidi"/>
                <w:sz w:val="18"/>
                <w:lang w:val="fr-FR"/>
              </w:rPr>
              <w:t xml:space="preserve">néanmoins 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ces transparents pour </w:t>
            </w:r>
            <w:r w:rsidR="003F5EB9">
              <w:rPr>
                <w:rFonts w:ascii="Verdana" w:hAnsi="Verdana" w:cstheme="minorBidi"/>
                <w:sz w:val="18"/>
                <w:lang w:val="fr-FR"/>
              </w:rPr>
              <w:t>présenter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, par l'exemple, </w:t>
            </w:r>
            <w:r w:rsidR="003F5EB9">
              <w:rPr>
                <w:rFonts w:ascii="Verdana" w:hAnsi="Verdana" w:cstheme="minorBidi"/>
                <w:sz w:val="18"/>
                <w:lang w:val="fr-FR"/>
              </w:rPr>
              <w:t xml:space="preserve">les divers éléments </w:t>
            </w:r>
            <w:r>
              <w:rPr>
                <w:rFonts w:ascii="Verdana" w:hAnsi="Verdana" w:cstheme="minorBidi"/>
                <w:sz w:val="18"/>
                <w:lang w:val="fr-FR"/>
              </w:rPr>
              <w:t>que peut contenir une demande.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Ces transparents lui permettront aussi de présenter aux participants les différents documents qui doivent être annexés à la demande, le cas échéant, ainsi que les autres éléments constitutifs de la </w:t>
            </w:r>
            <w:r w:rsidR="003F5EB9">
              <w:rPr>
                <w:rFonts w:ascii="Verdana" w:hAnsi="Verdana" w:cstheme="minorBidi"/>
                <w:sz w:val="18"/>
                <w:lang w:val="fr-FR"/>
              </w:rPr>
              <w:t>demande qui ont été identifiés.</w:t>
            </w:r>
          </w:p>
        </w:tc>
      </w:tr>
      <w:tr w:rsidR="00F664A2">
        <w:trPr>
          <w:trHeight w:val="1340"/>
        </w:trPr>
        <w:tc>
          <w:tcPr>
            <w:tcW w:w="1951" w:type="dxa"/>
            <w:vAlign w:val="center"/>
          </w:tcPr>
          <w:p w:rsidR="00F664A2" w:rsidRDefault="0042794C">
            <w:pPr>
              <w:jc w:val="center"/>
              <w:rPr>
                <w:rFonts w:cstheme="minorBidi"/>
                <w:sz w:val="18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D</w:t>
            </w:r>
            <w:r w:rsidR="00BD6E6D">
              <w:rPr>
                <w:rFonts w:ascii="Verdana" w:hAnsi="Verdana" w:cstheme="minorBidi"/>
                <w:sz w:val="18"/>
                <w:lang w:val="fr-FR"/>
              </w:rPr>
              <w:t>e 33 à 40</w:t>
            </w:r>
          </w:p>
        </w:tc>
        <w:tc>
          <w:tcPr>
            <w:tcW w:w="7117" w:type="dxa"/>
            <w:gridSpan w:val="2"/>
            <w:vAlign w:val="center"/>
          </w:tcPr>
          <w:p w:rsidR="00F664A2" w:rsidRDefault="00BD6E6D" w:rsidP="0042794C">
            <w:pPr>
              <w:spacing w:before="120" w:after="120" w:line="280" w:lineRule="exact"/>
              <w:jc w:val="both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Ces transparents concernent plus spécifiquement les diverses conditions et sauvegardes à faire figurer dans une demande.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>Il importe que le f</w:t>
            </w:r>
            <w:r w:rsidR="0042794C">
              <w:rPr>
                <w:rFonts w:ascii="Verdana" w:hAnsi="Verdana" w:cstheme="minorBidi"/>
                <w:sz w:val="18"/>
                <w:lang w:val="fr-FR"/>
              </w:rPr>
              <w:t>ormateur insiste sur l'importanc</w:t>
            </w:r>
            <w:r>
              <w:rPr>
                <w:rFonts w:ascii="Verdana" w:hAnsi="Verdana" w:cstheme="minorBidi"/>
                <w:sz w:val="18"/>
                <w:lang w:val="fr-FR"/>
              </w:rPr>
              <w:t>e d'inclure dans la demande des conditions et des sauvegardes telles que celles données en exemple dans les transparents. Il doit aussi souligner que les demandes qui ne contiennent pa</w:t>
            </w:r>
            <w:r w:rsidR="0042794C">
              <w:rPr>
                <w:rFonts w:ascii="Verdana" w:hAnsi="Verdana" w:cstheme="minorBidi"/>
                <w:sz w:val="18"/>
                <w:lang w:val="fr-FR"/>
              </w:rPr>
              <w:t>s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 les conditions et sauvegardes appropriées relatives à l'exercice du pouvoir procédural peuvent être refusées au moment de l'examen.</w:t>
            </w:r>
          </w:p>
        </w:tc>
      </w:tr>
      <w:tr w:rsidR="00F664A2">
        <w:trPr>
          <w:trHeight w:val="1340"/>
        </w:trPr>
        <w:tc>
          <w:tcPr>
            <w:tcW w:w="1951" w:type="dxa"/>
            <w:vAlign w:val="center"/>
          </w:tcPr>
          <w:p w:rsidR="00F664A2" w:rsidRDefault="0042794C">
            <w:pPr>
              <w:jc w:val="center"/>
              <w:rPr>
                <w:rFonts w:cstheme="minorBidi"/>
                <w:sz w:val="18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D</w:t>
            </w:r>
            <w:r w:rsidR="00BD6E6D">
              <w:rPr>
                <w:rFonts w:ascii="Verdana" w:hAnsi="Verdana" w:cstheme="minorBidi"/>
                <w:sz w:val="18"/>
                <w:lang w:val="fr-FR"/>
              </w:rPr>
              <w:t>e 41 à 43</w:t>
            </w:r>
          </w:p>
        </w:tc>
        <w:tc>
          <w:tcPr>
            <w:tcW w:w="7117" w:type="dxa"/>
            <w:gridSpan w:val="2"/>
            <w:vAlign w:val="center"/>
          </w:tcPr>
          <w:p w:rsidR="00F664A2" w:rsidRDefault="00BD6E6D" w:rsidP="00A65A2C">
            <w:pPr>
              <w:spacing w:before="120" w:after="120" w:line="280" w:lineRule="exact"/>
              <w:jc w:val="both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 xml:space="preserve">Le formateur récapitule les objectifs de la session et donne aux </w:t>
            </w:r>
            <w:r w:rsidR="00A65A2C">
              <w:rPr>
                <w:rFonts w:ascii="Verdana" w:hAnsi="Verdana" w:cstheme="minorBidi"/>
                <w:sz w:val="18"/>
                <w:lang w:val="fr-FR"/>
              </w:rPr>
              <w:t>stagiaires</w:t>
            </w:r>
            <w:r>
              <w:rPr>
                <w:rFonts w:ascii="Verdana" w:hAnsi="Verdana" w:cstheme="minorBidi"/>
                <w:sz w:val="18"/>
                <w:lang w:val="fr-FR"/>
              </w:rPr>
              <w:t xml:space="preserve"> la possibilité de poser des questions en lien avec les points traités au cours de la leçon.</w:t>
            </w:r>
          </w:p>
        </w:tc>
      </w:tr>
      <w:tr w:rsidR="00F664A2">
        <w:trPr>
          <w:trHeight w:val="1412"/>
        </w:trPr>
        <w:tc>
          <w:tcPr>
            <w:tcW w:w="9068" w:type="dxa"/>
            <w:gridSpan w:val="3"/>
            <w:vAlign w:val="center"/>
          </w:tcPr>
          <w:p w:rsidR="00F664A2" w:rsidRDefault="00BD6E6D">
            <w:pPr>
              <w:spacing w:before="120" w:after="120" w:line="280" w:lineRule="exact"/>
              <w:rPr>
                <w:rFonts w:ascii="Verdana" w:hAnsi="Verdana" w:cstheme="minorBidi"/>
                <w:b/>
                <w:sz w:val="22"/>
              </w:rPr>
            </w:pPr>
            <w:r>
              <w:rPr>
                <w:rFonts w:ascii="Verdana" w:hAnsi="Verdana" w:cstheme="minorBidi"/>
                <w:b/>
                <w:sz w:val="22"/>
                <w:lang w:val="fr-FR"/>
              </w:rPr>
              <w:t>Exercices pratiques</w:t>
            </w:r>
            <w:r w:rsidR="003263EA">
              <w:rPr>
                <w:rFonts w:ascii="Verdana" w:hAnsi="Verdana" w:cstheme="minorBidi"/>
                <w:b/>
                <w:sz w:val="22"/>
                <w:lang w:val="fr-FR"/>
              </w:rPr>
              <w:t> </w:t>
            </w:r>
            <w:r w:rsidR="0042794C">
              <w:rPr>
                <w:rFonts w:ascii="Verdana" w:hAnsi="Verdana" w:cstheme="minorBidi"/>
                <w:b/>
                <w:sz w:val="22"/>
                <w:lang w:val="fr-FR"/>
              </w:rPr>
              <w:t>:</w:t>
            </w:r>
          </w:p>
          <w:p w:rsidR="00F664A2" w:rsidRDefault="00BD6E6D">
            <w:pPr>
              <w:spacing w:before="120" w:after="120" w:line="280" w:lineRule="exact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Aucun exercice pratique n'est prévu pour cette session.</w:t>
            </w:r>
          </w:p>
        </w:tc>
      </w:tr>
      <w:tr w:rsidR="00F664A2">
        <w:tc>
          <w:tcPr>
            <w:tcW w:w="9068" w:type="dxa"/>
            <w:gridSpan w:val="3"/>
            <w:vAlign w:val="center"/>
          </w:tcPr>
          <w:p w:rsidR="00F664A2" w:rsidRDefault="00BD6E6D">
            <w:pPr>
              <w:spacing w:before="120" w:after="120" w:line="280" w:lineRule="exact"/>
              <w:rPr>
                <w:rFonts w:ascii="Verdana" w:hAnsi="Verdana" w:cstheme="minorBidi"/>
                <w:b/>
                <w:sz w:val="22"/>
              </w:rPr>
            </w:pPr>
            <w:r>
              <w:rPr>
                <w:rFonts w:ascii="Verdana" w:hAnsi="Verdana" w:cstheme="minorBidi"/>
                <w:b/>
                <w:sz w:val="22"/>
                <w:lang w:val="fr-FR"/>
              </w:rPr>
              <w:t>Évaluation/contrôle des connaissances</w:t>
            </w:r>
            <w:r w:rsidR="003263EA">
              <w:rPr>
                <w:rFonts w:ascii="Verdana" w:hAnsi="Verdana" w:cstheme="minorBidi"/>
                <w:b/>
                <w:sz w:val="22"/>
                <w:lang w:val="fr-FR"/>
              </w:rPr>
              <w:t> </w:t>
            </w:r>
            <w:r w:rsidR="0042794C">
              <w:rPr>
                <w:rFonts w:ascii="Verdana" w:hAnsi="Verdana" w:cstheme="minorBidi"/>
                <w:b/>
                <w:sz w:val="22"/>
                <w:lang w:val="fr-FR"/>
              </w:rPr>
              <w:t>:</w:t>
            </w:r>
          </w:p>
          <w:p w:rsidR="00F664A2" w:rsidRDefault="00BD6E6D">
            <w:pPr>
              <w:spacing w:before="120" w:after="120" w:line="280" w:lineRule="exact"/>
              <w:jc w:val="both"/>
              <w:rPr>
                <w:rFonts w:cstheme="minorBidi"/>
              </w:rPr>
            </w:pPr>
            <w:r>
              <w:rPr>
                <w:rFonts w:ascii="Verdana" w:hAnsi="Verdana" w:cstheme="minorBidi"/>
                <w:sz w:val="18"/>
                <w:lang w:val="fr-FR"/>
              </w:rPr>
              <w:t>Aucune évaluation formelle n'a été préparée pour cette session.</w:t>
            </w:r>
            <w:r>
              <w:rPr>
                <w:rFonts w:ascii="Verdana" w:hAnsi="Verdana" w:cstheme="minorBidi"/>
                <w:sz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lang w:val="fr-FR"/>
              </w:rPr>
              <w:t>Le formateur est encouragé à contrôler les connaissances et le niveau de compréhension en posant des questions pertinentes tout au long de la session.</w:t>
            </w:r>
          </w:p>
        </w:tc>
      </w:tr>
    </w:tbl>
    <w:p w:rsidR="00BD6E6D" w:rsidRDefault="00BD6E6D">
      <w:pPr>
        <w:rPr>
          <w:rFonts w:ascii="Verdana" w:hAnsi="Verdana" w:cstheme="minorBidi"/>
        </w:rPr>
      </w:pPr>
    </w:p>
    <w:sectPr w:rsidR="00BD6E6D">
      <w:pgSz w:w="11900" w:h="16840"/>
      <w:pgMar w:top="7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B2" w:rsidRDefault="004439B2" w:rsidP="006A64AB">
      <w:r>
        <w:separator/>
      </w:r>
    </w:p>
  </w:endnote>
  <w:endnote w:type="continuationSeparator" w:id="0">
    <w:p w:rsidR="004439B2" w:rsidRDefault="004439B2" w:rsidP="006A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B2" w:rsidRDefault="004439B2" w:rsidP="006A64AB">
      <w:r>
        <w:separator/>
      </w:r>
    </w:p>
  </w:footnote>
  <w:footnote w:type="continuationSeparator" w:id="0">
    <w:p w:rsidR="004439B2" w:rsidRDefault="004439B2" w:rsidP="006A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2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1A800C6"/>
    <w:multiLevelType w:val="hybridMultilevel"/>
    <w:tmpl w:val="A86CDB8C"/>
    <w:lvl w:ilvl="0" w:tplc="4B00A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E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0D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49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F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24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0C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0B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83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18"/>
    <w:rsid w:val="00013988"/>
    <w:rsid w:val="000509A6"/>
    <w:rsid w:val="00075575"/>
    <w:rsid w:val="000E4763"/>
    <w:rsid w:val="00105DD4"/>
    <w:rsid w:val="00175ADE"/>
    <w:rsid w:val="00185B76"/>
    <w:rsid w:val="001B428D"/>
    <w:rsid w:val="001B5DAD"/>
    <w:rsid w:val="002131BC"/>
    <w:rsid w:val="00271010"/>
    <w:rsid w:val="0027512B"/>
    <w:rsid w:val="002F375E"/>
    <w:rsid w:val="00302D1D"/>
    <w:rsid w:val="003263EA"/>
    <w:rsid w:val="0033609D"/>
    <w:rsid w:val="003406F3"/>
    <w:rsid w:val="00341926"/>
    <w:rsid w:val="0036129C"/>
    <w:rsid w:val="003630ED"/>
    <w:rsid w:val="00383CAC"/>
    <w:rsid w:val="00384007"/>
    <w:rsid w:val="003958A0"/>
    <w:rsid w:val="00397FEA"/>
    <w:rsid w:val="003B2AF4"/>
    <w:rsid w:val="003E0EDB"/>
    <w:rsid w:val="003F2BCF"/>
    <w:rsid w:val="003F5EB9"/>
    <w:rsid w:val="003F6045"/>
    <w:rsid w:val="00402ED6"/>
    <w:rsid w:val="004111F2"/>
    <w:rsid w:val="0042794C"/>
    <w:rsid w:val="004439B2"/>
    <w:rsid w:val="004639E3"/>
    <w:rsid w:val="00491B86"/>
    <w:rsid w:val="0051122C"/>
    <w:rsid w:val="005154BF"/>
    <w:rsid w:val="00534FB7"/>
    <w:rsid w:val="005703B7"/>
    <w:rsid w:val="00584B3E"/>
    <w:rsid w:val="00594B3F"/>
    <w:rsid w:val="005951B6"/>
    <w:rsid w:val="005A4E47"/>
    <w:rsid w:val="005B20C3"/>
    <w:rsid w:val="005F4B3C"/>
    <w:rsid w:val="0063455E"/>
    <w:rsid w:val="006A64AB"/>
    <w:rsid w:val="006B6669"/>
    <w:rsid w:val="006B6864"/>
    <w:rsid w:val="006D7128"/>
    <w:rsid w:val="006F75E4"/>
    <w:rsid w:val="007169BB"/>
    <w:rsid w:val="00754C1A"/>
    <w:rsid w:val="00761BA4"/>
    <w:rsid w:val="00770D65"/>
    <w:rsid w:val="00790848"/>
    <w:rsid w:val="0079197D"/>
    <w:rsid w:val="00795C47"/>
    <w:rsid w:val="007A1980"/>
    <w:rsid w:val="007A307F"/>
    <w:rsid w:val="007B75A9"/>
    <w:rsid w:val="007C195B"/>
    <w:rsid w:val="007C58CF"/>
    <w:rsid w:val="007F2601"/>
    <w:rsid w:val="00823B30"/>
    <w:rsid w:val="00854CB8"/>
    <w:rsid w:val="008E3FE7"/>
    <w:rsid w:val="009277BD"/>
    <w:rsid w:val="0094072C"/>
    <w:rsid w:val="00965ADD"/>
    <w:rsid w:val="00973E84"/>
    <w:rsid w:val="00997B24"/>
    <w:rsid w:val="009A2F63"/>
    <w:rsid w:val="009E559A"/>
    <w:rsid w:val="00A00A58"/>
    <w:rsid w:val="00A03CF0"/>
    <w:rsid w:val="00A4110D"/>
    <w:rsid w:val="00A53D26"/>
    <w:rsid w:val="00A65A2C"/>
    <w:rsid w:val="00A734A5"/>
    <w:rsid w:val="00A85E82"/>
    <w:rsid w:val="00A9431E"/>
    <w:rsid w:val="00AB2EE7"/>
    <w:rsid w:val="00AE39FA"/>
    <w:rsid w:val="00AF0A64"/>
    <w:rsid w:val="00AF62EC"/>
    <w:rsid w:val="00B03741"/>
    <w:rsid w:val="00B4237D"/>
    <w:rsid w:val="00B468A3"/>
    <w:rsid w:val="00B569A5"/>
    <w:rsid w:val="00B71D66"/>
    <w:rsid w:val="00BD6890"/>
    <w:rsid w:val="00BD6E6D"/>
    <w:rsid w:val="00C541A2"/>
    <w:rsid w:val="00CB02C4"/>
    <w:rsid w:val="00CB3026"/>
    <w:rsid w:val="00CD74EC"/>
    <w:rsid w:val="00CF0C7C"/>
    <w:rsid w:val="00D80B03"/>
    <w:rsid w:val="00D82C18"/>
    <w:rsid w:val="00D944B5"/>
    <w:rsid w:val="00DB09DC"/>
    <w:rsid w:val="00DC0837"/>
    <w:rsid w:val="00E13BE7"/>
    <w:rsid w:val="00E17E67"/>
    <w:rsid w:val="00E55549"/>
    <w:rsid w:val="00E7344B"/>
    <w:rsid w:val="00E95703"/>
    <w:rsid w:val="00EE70BF"/>
    <w:rsid w:val="00EF158F"/>
    <w:rsid w:val="00F35B67"/>
    <w:rsid w:val="00F42199"/>
    <w:rsid w:val="00F62A15"/>
    <w:rsid w:val="00F664A2"/>
    <w:rsid w:val="00F813A3"/>
    <w:rsid w:val="00FC4417"/>
    <w:rsid w:val="00F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Pr>
      <w:rFonts w:cs="Times New Roman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bul1">
    <w:name w:val="bul1"/>
    <w:basedOn w:val="Normal"/>
    <w:qFormat/>
    <w:pPr>
      <w:numPr>
        <w:numId w:val="7"/>
      </w:numPr>
      <w:spacing w:line="280" w:lineRule="atLeast"/>
      <w:ind w:left="851" w:hanging="851"/>
      <w:jc w:val="both"/>
    </w:pPr>
    <w:rPr>
      <w:rFonts w:ascii="Verdana" w:hAnsi="Verdana"/>
      <w:sz w:val="18"/>
      <w:lang w:val="de-DE"/>
    </w:rPr>
  </w:style>
  <w:style w:type="character" w:customStyle="1" w:styleId="bul1Char">
    <w:name w:val="bul1 Char"/>
    <w:locked/>
    <w:rPr>
      <w:rFonts w:ascii="Verdana" w:eastAsia="Times New Roman" w:hAnsi="Verdana"/>
      <w:sz w:val="18"/>
      <w:lang w:val="de-DE"/>
    </w:rPr>
  </w:style>
  <w:style w:type="character" w:styleId="Lienhypertexte">
    <w:name w:val="Hyperlink"/>
    <w:basedOn w:val="Policepardfaut"/>
    <w:uiPriority w:val="99"/>
    <w:rPr>
      <w:rFonts w:cs="Times New Roman"/>
      <w:color w:val="0563C1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20" w:after="120" w:line="280" w:lineRule="atLeast"/>
      <w:jc w:val="both"/>
    </w:pPr>
    <w:rPr>
      <w:rFonts w:asciiTheme="minorBidi" w:hAnsiTheme="minorBidi"/>
      <w:iCs/>
      <w:color w:val="000000"/>
      <w:sz w:val="18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Theme="minorBidi" w:eastAsia="Times New Roman" w:hAnsiTheme="minorBidi" w:cs="Times New Roman"/>
      <w:iCs/>
      <w:color w:val="000000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En-tte">
    <w:name w:val="header"/>
    <w:basedOn w:val="Normal"/>
    <w:link w:val="En-tteCar"/>
    <w:uiPriority w:val="99"/>
    <w:unhideWhenUsed/>
    <w:rsid w:val="006A64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4AB"/>
    <w:rPr>
      <w:rFonts w:cs="Times New Roman"/>
      <w:snapToGrid w:val="0"/>
    </w:rPr>
  </w:style>
  <w:style w:type="paragraph" w:styleId="Pieddepage">
    <w:name w:val="footer"/>
    <w:basedOn w:val="Normal"/>
    <w:link w:val="PieddepageCar"/>
    <w:uiPriority w:val="99"/>
    <w:unhideWhenUsed/>
    <w:rsid w:val="006A64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64AB"/>
    <w:rPr>
      <w:rFonts w:cs="Times New Roman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Pr>
      <w:rFonts w:cs="Times New Roman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bul1">
    <w:name w:val="bul1"/>
    <w:basedOn w:val="Normal"/>
    <w:qFormat/>
    <w:pPr>
      <w:numPr>
        <w:numId w:val="7"/>
      </w:numPr>
      <w:spacing w:line="280" w:lineRule="atLeast"/>
      <w:ind w:left="851" w:hanging="851"/>
      <w:jc w:val="both"/>
    </w:pPr>
    <w:rPr>
      <w:rFonts w:ascii="Verdana" w:hAnsi="Verdana"/>
      <w:sz w:val="18"/>
      <w:lang w:val="de-DE"/>
    </w:rPr>
  </w:style>
  <w:style w:type="character" w:customStyle="1" w:styleId="bul1Char">
    <w:name w:val="bul1 Char"/>
    <w:locked/>
    <w:rPr>
      <w:rFonts w:ascii="Verdana" w:eastAsia="Times New Roman" w:hAnsi="Verdana"/>
      <w:sz w:val="18"/>
      <w:lang w:val="de-DE"/>
    </w:rPr>
  </w:style>
  <w:style w:type="character" w:styleId="Lienhypertexte">
    <w:name w:val="Hyperlink"/>
    <w:basedOn w:val="Policepardfaut"/>
    <w:uiPriority w:val="99"/>
    <w:rPr>
      <w:rFonts w:cs="Times New Roman"/>
      <w:color w:val="0563C1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20" w:after="120" w:line="280" w:lineRule="atLeast"/>
      <w:jc w:val="both"/>
    </w:pPr>
    <w:rPr>
      <w:rFonts w:asciiTheme="minorBidi" w:hAnsiTheme="minorBidi"/>
      <w:iCs/>
      <w:color w:val="000000"/>
      <w:sz w:val="18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Theme="minorBidi" w:eastAsia="Times New Roman" w:hAnsiTheme="minorBidi" w:cs="Times New Roman"/>
      <w:iCs/>
      <w:color w:val="000000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En-tte">
    <w:name w:val="header"/>
    <w:basedOn w:val="Normal"/>
    <w:link w:val="En-tteCar"/>
    <w:uiPriority w:val="99"/>
    <w:unhideWhenUsed/>
    <w:rsid w:val="006A64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4AB"/>
    <w:rPr>
      <w:rFonts w:cs="Times New Roman"/>
      <w:snapToGrid w:val="0"/>
    </w:rPr>
  </w:style>
  <w:style w:type="paragraph" w:styleId="Pieddepage">
    <w:name w:val="footer"/>
    <w:basedOn w:val="Normal"/>
    <w:link w:val="PieddepageCar"/>
    <w:uiPriority w:val="99"/>
    <w:unhideWhenUsed/>
    <w:rsid w:val="006A64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64AB"/>
    <w:rPr>
      <w:rFonts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745">
          <w:marLeft w:val="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747">
          <w:marLeft w:val="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664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Nigel (nigel.jones@canterbury.ac.uk)</dc:creator>
  <cp:lastModifiedBy>OlivierTraducteur</cp:lastModifiedBy>
  <cp:revision>10</cp:revision>
  <dcterms:created xsi:type="dcterms:W3CDTF">2018-05-16T12:21:00Z</dcterms:created>
  <dcterms:modified xsi:type="dcterms:W3CDTF">2018-05-25T13:42:00Z</dcterms:modified>
</cp:coreProperties>
</file>