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FB19AF3" w:rsidR="00D82C18" w:rsidRPr="00260504" w:rsidRDefault="00D2435F" w:rsidP="00260504">
      <w:pPr>
        <w:spacing w:before="120" w:after="120" w:line="260" w:lineRule="atLeast"/>
        <w:rPr>
          <w:rFonts w:ascii="Verdana" w:hAnsi="Verdana"/>
          <w:lang w:val="sr-Latn-RS"/>
        </w:rPr>
      </w:pPr>
      <w:r w:rsidRPr="00260504">
        <w:rPr>
          <w:rFonts w:ascii="Verdana" w:hAnsi="Verdana"/>
          <w:b/>
          <w:bCs/>
          <w:sz w:val="28"/>
          <w:szCs w:val="28"/>
          <w:lang w:val="sr-Latn-RS"/>
        </w:rPr>
        <w:t xml:space="preserve">Lekcija </w:t>
      </w:r>
      <w:r w:rsidR="00334BD0" w:rsidRPr="00260504">
        <w:rPr>
          <w:rFonts w:ascii="Verdana" w:hAnsi="Verdana"/>
          <w:b/>
          <w:bCs/>
          <w:sz w:val="28"/>
          <w:szCs w:val="28"/>
          <w:lang w:val="sr-Latn-RS"/>
        </w:rPr>
        <w:t>1.</w:t>
      </w:r>
      <w:r w:rsidR="00C45A81" w:rsidRPr="00260504">
        <w:rPr>
          <w:rFonts w:ascii="Verdana" w:hAnsi="Verdana"/>
          <w:b/>
          <w:bCs/>
          <w:sz w:val="28"/>
          <w:szCs w:val="28"/>
          <w:lang w:val="sr-Latn-RS"/>
        </w:rPr>
        <w:t>4</w:t>
      </w:r>
      <w:r w:rsidR="00334BD0" w:rsidRPr="00260504">
        <w:rPr>
          <w:rFonts w:ascii="Verdana" w:hAnsi="Verdana"/>
          <w:b/>
          <w:bCs/>
          <w:sz w:val="28"/>
          <w:szCs w:val="28"/>
          <w:lang w:val="sr-Latn-RS"/>
        </w:rPr>
        <w:t xml:space="preserve"> </w:t>
      </w:r>
      <w:r w:rsidRPr="00260504">
        <w:rPr>
          <w:rFonts w:ascii="Verdana" w:hAnsi="Verdana"/>
          <w:b/>
          <w:bCs/>
          <w:sz w:val="28"/>
          <w:szCs w:val="28"/>
          <w:lang w:val="sr-Latn-RS"/>
        </w:rPr>
        <w:t xml:space="preserve">Pregled pravnih osnova međunarodne saradnje </w:t>
      </w:r>
    </w:p>
    <w:p w14:paraId="1D0E3DC5" w14:textId="77777777" w:rsidR="00C115FC" w:rsidRPr="00260504" w:rsidRDefault="00C115FC" w:rsidP="00260504">
      <w:pPr>
        <w:spacing w:before="120" w:after="120" w:line="260" w:lineRule="atLeast"/>
        <w:ind w:left="360"/>
        <w:rPr>
          <w:rFonts w:ascii="Verdana" w:hAnsi="Verdana"/>
          <w:lang w:val="sr-Latn-RS"/>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260504" w14:paraId="58A3485E" w14:textId="77777777" w:rsidTr="00F1574D">
        <w:trPr>
          <w:trHeight w:val="872"/>
        </w:trPr>
        <w:tc>
          <w:tcPr>
            <w:tcW w:w="6845" w:type="dxa"/>
            <w:gridSpan w:val="2"/>
            <w:shd w:val="clear" w:color="auto" w:fill="DEEAF6" w:themeFill="accent5" w:themeFillTint="33"/>
            <w:vAlign w:val="center"/>
          </w:tcPr>
          <w:p w14:paraId="0067FF35" w14:textId="6B3521C4" w:rsidR="00D82C18" w:rsidRPr="00260504" w:rsidRDefault="00D2435F" w:rsidP="00260504">
            <w:pPr>
              <w:spacing w:before="120" w:after="120" w:line="260" w:lineRule="atLeast"/>
              <w:rPr>
                <w:rFonts w:ascii="Verdana" w:hAnsi="Verdana"/>
                <w:sz w:val="22"/>
                <w:szCs w:val="22"/>
                <w:lang w:val="sr-Latn-RS"/>
              </w:rPr>
            </w:pPr>
            <w:r w:rsidRPr="00260504">
              <w:rPr>
                <w:rFonts w:ascii="Verdana" w:hAnsi="Verdana"/>
                <w:sz w:val="22"/>
                <w:szCs w:val="22"/>
                <w:lang w:val="sr-Latn-RS"/>
              </w:rPr>
              <w:t xml:space="preserve">Lekcija </w:t>
            </w:r>
            <w:r w:rsidR="00A439ED" w:rsidRPr="00260504">
              <w:rPr>
                <w:rFonts w:ascii="Verdana" w:hAnsi="Verdana"/>
                <w:sz w:val="22"/>
                <w:szCs w:val="22"/>
                <w:lang w:val="sr-Latn-RS"/>
              </w:rPr>
              <w:t>1</w:t>
            </w:r>
            <w:r w:rsidR="00C70C5C" w:rsidRPr="00260504">
              <w:rPr>
                <w:rFonts w:ascii="Verdana" w:hAnsi="Verdana"/>
                <w:sz w:val="22"/>
                <w:szCs w:val="22"/>
                <w:lang w:val="sr-Latn-RS"/>
              </w:rPr>
              <w:t>.</w:t>
            </w:r>
            <w:r w:rsidR="00C45A81" w:rsidRPr="00260504">
              <w:rPr>
                <w:rFonts w:ascii="Verdana" w:hAnsi="Verdana"/>
                <w:sz w:val="22"/>
                <w:szCs w:val="22"/>
                <w:lang w:val="sr-Latn-RS"/>
              </w:rPr>
              <w:t>4</w:t>
            </w:r>
            <w:r w:rsidR="00334BD0" w:rsidRPr="00260504">
              <w:rPr>
                <w:rFonts w:ascii="Verdana" w:hAnsi="Verdana"/>
                <w:sz w:val="22"/>
                <w:szCs w:val="22"/>
                <w:lang w:val="sr-Latn-RS"/>
              </w:rPr>
              <w:t xml:space="preserve"> </w:t>
            </w:r>
            <w:r w:rsidRPr="00260504">
              <w:rPr>
                <w:rFonts w:ascii="Verdana" w:hAnsi="Verdana"/>
                <w:sz w:val="22"/>
                <w:szCs w:val="22"/>
                <w:lang w:val="sr-Latn-RS"/>
              </w:rPr>
              <w:t>Pregled pravnih osnova međunarodne saradnje</w:t>
            </w:r>
          </w:p>
        </w:tc>
        <w:tc>
          <w:tcPr>
            <w:tcW w:w="2165" w:type="dxa"/>
            <w:shd w:val="clear" w:color="auto" w:fill="DEEAF6" w:themeFill="accent5" w:themeFillTint="33"/>
            <w:vAlign w:val="center"/>
          </w:tcPr>
          <w:p w14:paraId="30B631DA" w14:textId="3E282CAB" w:rsidR="00D82C18" w:rsidRPr="00260504" w:rsidRDefault="00D2435F" w:rsidP="00260504">
            <w:pPr>
              <w:spacing w:before="120" w:after="120" w:line="260" w:lineRule="atLeast"/>
              <w:rPr>
                <w:rFonts w:ascii="Verdana" w:hAnsi="Verdana"/>
                <w:sz w:val="22"/>
                <w:szCs w:val="22"/>
                <w:lang w:val="sr-Latn-RS"/>
              </w:rPr>
            </w:pPr>
            <w:r w:rsidRPr="00260504">
              <w:rPr>
                <w:rFonts w:ascii="Verdana" w:hAnsi="Verdana"/>
                <w:sz w:val="22"/>
                <w:szCs w:val="22"/>
                <w:lang w:val="sr-Latn-RS"/>
              </w:rPr>
              <w:t>Trajanje</w:t>
            </w:r>
            <w:r w:rsidR="00D82C18" w:rsidRPr="00260504">
              <w:rPr>
                <w:rFonts w:ascii="Verdana" w:hAnsi="Verdana"/>
                <w:sz w:val="22"/>
                <w:szCs w:val="22"/>
                <w:lang w:val="sr-Latn-RS"/>
              </w:rPr>
              <w:t xml:space="preserve">: </w:t>
            </w:r>
            <w:r w:rsidR="00C45A81" w:rsidRPr="00260504">
              <w:rPr>
                <w:rFonts w:ascii="Verdana" w:hAnsi="Verdana"/>
                <w:color w:val="000000" w:themeColor="text1"/>
                <w:sz w:val="22"/>
                <w:szCs w:val="22"/>
                <w:lang w:val="sr-Latn-RS"/>
              </w:rPr>
              <w:t xml:space="preserve">90 </w:t>
            </w:r>
            <w:r w:rsidRPr="00260504">
              <w:rPr>
                <w:rFonts w:ascii="Verdana" w:hAnsi="Verdana"/>
                <w:color w:val="000000" w:themeColor="text1"/>
                <w:sz w:val="22"/>
                <w:szCs w:val="22"/>
                <w:lang w:val="sr-Latn-RS"/>
              </w:rPr>
              <w:t xml:space="preserve">minuta </w:t>
            </w:r>
          </w:p>
        </w:tc>
      </w:tr>
      <w:tr w:rsidR="00E7344B" w:rsidRPr="00260504" w14:paraId="7C1107AB" w14:textId="77777777" w:rsidTr="00A439ED">
        <w:trPr>
          <w:trHeight w:val="1727"/>
        </w:trPr>
        <w:tc>
          <w:tcPr>
            <w:tcW w:w="9010" w:type="dxa"/>
            <w:gridSpan w:val="3"/>
            <w:vAlign w:val="center"/>
          </w:tcPr>
          <w:p w14:paraId="0B1C3404" w14:textId="1810AC8A" w:rsidR="00E7344B" w:rsidRPr="00260504" w:rsidRDefault="009A3975" w:rsidP="00260504">
            <w:pPr>
              <w:spacing w:before="120" w:after="120" w:line="260" w:lineRule="atLeast"/>
              <w:rPr>
                <w:rFonts w:ascii="Verdana" w:hAnsi="Verdana"/>
                <w:b/>
                <w:sz w:val="22"/>
                <w:szCs w:val="22"/>
                <w:lang w:val="sr-Latn-RS"/>
              </w:rPr>
            </w:pPr>
            <w:r w:rsidRPr="00260504">
              <w:rPr>
                <w:rFonts w:ascii="Verdana" w:hAnsi="Verdana"/>
                <w:b/>
                <w:sz w:val="22"/>
                <w:szCs w:val="22"/>
                <w:lang w:val="sr-Latn-RS"/>
              </w:rPr>
              <w:t>Potrebni resursi</w:t>
            </w:r>
            <w:r w:rsidR="00E7344B" w:rsidRPr="00260504">
              <w:rPr>
                <w:rFonts w:ascii="Verdana" w:hAnsi="Verdana"/>
                <w:b/>
                <w:sz w:val="22"/>
                <w:szCs w:val="22"/>
                <w:lang w:val="sr-Latn-RS"/>
              </w:rPr>
              <w:t>:</w:t>
            </w:r>
            <w:r w:rsidR="00E13BE7" w:rsidRPr="00260504">
              <w:rPr>
                <w:rFonts w:ascii="Verdana" w:hAnsi="Verdana"/>
                <w:b/>
                <w:sz w:val="22"/>
                <w:szCs w:val="22"/>
                <w:lang w:val="sr-Latn-RS"/>
              </w:rPr>
              <w:t xml:space="preserve"> </w:t>
            </w:r>
          </w:p>
          <w:p w14:paraId="2A030D01" w14:textId="77777777" w:rsidR="00D2435F" w:rsidRPr="00260504" w:rsidRDefault="00D2435F" w:rsidP="00260504">
            <w:pPr>
              <w:pStyle w:val="bul1"/>
              <w:numPr>
                <w:ilvl w:val="0"/>
                <w:numId w:val="6"/>
              </w:numPr>
              <w:spacing w:before="120" w:after="120" w:line="260" w:lineRule="atLeast"/>
              <w:rPr>
                <w:lang w:val="sr-Latn-RS"/>
              </w:rPr>
            </w:pPr>
            <w:r w:rsidRPr="00260504">
              <w:rPr>
                <w:lang w:val="sr-Latn-RS"/>
              </w:rPr>
              <w:t xml:space="preserve">PC/laptop s verzijama softvera kompatibilnim s pripremljenim materijalima </w:t>
            </w:r>
          </w:p>
          <w:p w14:paraId="521699BB" w14:textId="77777777" w:rsidR="00D2435F" w:rsidRPr="00260504" w:rsidRDefault="00D2435F" w:rsidP="00260504">
            <w:pPr>
              <w:pStyle w:val="bul1"/>
              <w:numPr>
                <w:ilvl w:val="0"/>
                <w:numId w:val="6"/>
              </w:numPr>
              <w:spacing w:before="120" w:after="120" w:line="260" w:lineRule="atLeast"/>
              <w:rPr>
                <w:lang w:val="sr-Latn-RS"/>
              </w:rPr>
            </w:pPr>
            <w:r w:rsidRPr="00260504">
              <w:rPr>
                <w:lang w:val="sr-Latn-RS"/>
              </w:rPr>
              <w:t xml:space="preserve">Pristup internetu (ukoliko je na raspolaganju) </w:t>
            </w:r>
          </w:p>
          <w:p w14:paraId="0A04172D" w14:textId="63666930" w:rsidR="00D2435F" w:rsidRPr="00260504" w:rsidRDefault="00D2435F" w:rsidP="00260504">
            <w:pPr>
              <w:pStyle w:val="bul1"/>
              <w:numPr>
                <w:ilvl w:val="0"/>
                <w:numId w:val="6"/>
              </w:numPr>
              <w:spacing w:before="120" w:after="120" w:line="260" w:lineRule="atLeast"/>
              <w:rPr>
                <w:lang w:val="sr-Latn-RS"/>
              </w:rPr>
            </w:pPr>
            <w:r w:rsidRPr="00260504">
              <w:rPr>
                <w:lang w:val="sr-Latn-RS"/>
              </w:rPr>
              <w:t>PowerPoint i</w:t>
            </w:r>
            <w:r w:rsidR="00990D0C" w:rsidRPr="00260504">
              <w:rPr>
                <w:lang w:val="sr-Latn-RS"/>
              </w:rPr>
              <w:t>l</w:t>
            </w:r>
            <w:r w:rsidRPr="00260504">
              <w:rPr>
                <w:lang w:val="sr-Latn-RS"/>
              </w:rPr>
              <w:t xml:space="preserve">i drugi softver za prezentacije </w:t>
            </w:r>
          </w:p>
          <w:p w14:paraId="14CF9EF0" w14:textId="1AB5F1C5" w:rsidR="000F7896" w:rsidRPr="00260504" w:rsidRDefault="00D2435F" w:rsidP="00260504">
            <w:pPr>
              <w:pStyle w:val="bul1"/>
              <w:numPr>
                <w:ilvl w:val="0"/>
                <w:numId w:val="6"/>
              </w:numPr>
              <w:spacing w:before="120" w:after="120" w:line="260" w:lineRule="atLeast"/>
              <w:rPr>
                <w:lang w:val="sr-Latn-RS"/>
              </w:rPr>
            </w:pPr>
            <w:r w:rsidRPr="00260504">
              <w:rPr>
                <w:lang w:val="sr-Latn-RS"/>
              </w:rPr>
              <w:t>Primerak Budimpeštanske konvencije za učesnike</w:t>
            </w:r>
            <w:r w:rsidR="00C45A81" w:rsidRPr="00260504">
              <w:rPr>
                <w:lang w:val="sr-Latn-RS"/>
              </w:rPr>
              <w:t xml:space="preserve"> </w:t>
            </w:r>
          </w:p>
        </w:tc>
      </w:tr>
      <w:tr w:rsidR="00E7344B" w:rsidRPr="00260504" w14:paraId="635F2EFD" w14:textId="77777777" w:rsidTr="00334BD0">
        <w:trPr>
          <w:trHeight w:val="1284"/>
        </w:trPr>
        <w:tc>
          <w:tcPr>
            <w:tcW w:w="9010" w:type="dxa"/>
            <w:gridSpan w:val="3"/>
            <w:vAlign w:val="center"/>
          </w:tcPr>
          <w:p w14:paraId="34602AF3" w14:textId="0FA0CB2A" w:rsidR="00A03CF0" w:rsidRPr="00260504" w:rsidRDefault="00D2435F" w:rsidP="00260504">
            <w:pPr>
              <w:spacing w:before="120" w:after="120" w:line="260" w:lineRule="atLeast"/>
              <w:rPr>
                <w:rFonts w:ascii="Verdana" w:hAnsi="Verdana"/>
                <w:b/>
                <w:sz w:val="22"/>
                <w:szCs w:val="22"/>
                <w:lang w:val="sr-Latn-RS"/>
              </w:rPr>
            </w:pPr>
            <w:r w:rsidRPr="00260504">
              <w:rPr>
                <w:rFonts w:ascii="Verdana" w:hAnsi="Verdana"/>
                <w:b/>
                <w:sz w:val="22"/>
                <w:szCs w:val="22"/>
                <w:lang w:val="sr-Latn-RS"/>
              </w:rPr>
              <w:t>Cilj sesije:</w:t>
            </w:r>
            <w:r w:rsidR="00A03CF0" w:rsidRPr="00260504">
              <w:rPr>
                <w:rFonts w:ascii="Verdana" w:hAnsi="Verdana"/>
                <w:b/>
                <w:sz w:val="22"/>
                <w:szCs w:val="22"/>
                <w:lang w:val="sr-Latn-RS"/>
              </w:rPr>
              <w:t xml:space="preserve">  </w:t>
            </w:r>
          </w:p>
          <w:p w14:paraId="3FE58655" w14:textId="1CD9BF48" w:rsidR="00A03CF0" w:rsidRPr="00260504" w:rsidRDefault="000D20B4" w:rsidP="00260504">
            <w:pPr>
              <w:spacing w:before="120" w:after="120" w:line="260" w:lineRule="atLeast"/>
              <w:jc w:val="both"/>
              <w:rPr>
                <w:rFonts w:ascii="Verdana" w:hAnsi="Verdana"/>
                <w:i/>
                <w:color w:val="FF0000"/>
                <w:sz w:val="18"/>
                <w:szCs w:val="18"/>
                <w:lang w:val="sr-Latn-RS"/>
              </w:rPr>
            </w:pPr>
            <w:r w:rsidRPr="00260504">
              <w:rPr>
                <w:rFonts w:ascii="Verdana" w:hAnsi="Verdana" w:cs="Arial"/>
                <w:iCs/>
                <w:sz w:val="18"/>
                <w:szCs w:val="18"/>
                <w:lang w:val="sr-Latn-RS"/>
              </w:rPr>
              <w:t>Ova sesija zamišljena je kao podsetnik o tome šta je krivično delo u oblasti visokotehnološkog kriminala, a pruža i pregled materijalno-pravnih i procesnih odredbi Budimpeštanske konvencije, različitih pravnih okvira koji omogućavaju međunarodnu saradnju, kao i okvirni prikaz Budimpeštanske konvencije i njenih odredbi koje se odnose na međunarodnu saradnju i Drugog dodatnog protokola uz Konvenciju</w:t>
            </w:r>
            <w:r w:rsidR="00C45A81" w:rsidRPr="00260504">
              <w:rPr>
                <w:rFonts w:ascii="Verdana" w:hAnsi="Verdana" w:cs="Arial"/>
                <w:iCs/>
                <w:sz w:val="18"/>
                <w:szCs w:val="18"/>
                <w:lang w:val="sr-Latn-RS"/>
              </w:rPr>
              <w:t>.</w:t>
            </w:r>
          </w:p>
        </w:tc>
      </w:tr>
      <w:tr w:rsidR="00A03CF0" w:rsidRPr="00260504" w14:paraId="1B5A80A7" w14:textId="77777777" w:rsidTr="001E7389">
        <w:trPr>
          <w:trHeight w:val="983"/>
        </w:trPr>
        <w:tc>
          <w:tcPr>
            <w:tcW w:w="9010" w:type="dxa"/>
            <w:gridSpan w:val="3"/>
            <w:vAlign w:val="center"/>
          </w:tcPr>
          <w:p w14:paraId="559A7E05" w14:textId="30589B09" w:rsidR="00A03CF0" w:rsidRPr="00260504" w:rsidRDefault="000D20B4" w:rsidP="00260504">
            <w:pPr>
              <w:spacing w:before="120" w:after="120" w:line="260" w:lineRule="atLeast"/>
              <w:rPr>
                <w:rFonts w:ascii="Verdana" w:hAnsi="Verdana"/>
                <w:b/>
                <w:sz w:val="22"/>
                <w:szCs w:val="22"/>
                <w:lang w:val="sr-Latn-RS"/>
              </w:rPr>
            </w:pPr>
            <w:r w:rsidRPr="00260504">
              <w:rPr>
                <w:rFonts w:ascii="Verdana" w:hAnsi="Verdana"/>
                <w:b/>
                <w:sz w:val="22"/>
                <w:szCs w:val="22"/>
                <w:lang w:val="sr-Latn-RS"/>
              </w:rPr>
              <w:t>Zadaci</w:t>
            </w:r>
            <w:r w:rsidR="00271010" w:rsidRPr="00260504">
              <w:rPr>
                <w:rFonts w:ascii="Verdana" w:hAnsi="Verdana"/>
                <w:b/>
                <w:sz w:val="22"/>
                <w:szCs w:val="22"/>
                <w:lang w:val="sr-Latn-RS"/>
              </w:rPr>
              <w:t>:</w:t>
            </w:r>
          </w:p>
          <w:p w14:paraId="7552C5F6" w14:textId="6194C67F" w:rsidR="000F7896" w:rsidRPr="00260504" w:rsidRDefault="000D20B4" w:rsidP="00260504">
            <w:pPr>
              <w:tabs>
                <w:tab w:val="left" w:pos="426"/>
                <w:tab w:val="left" w:pos="851"/>
              </w:tabs>
              <w:spacing w:before="120" w:after="120" w:line="260" w:lineRule="atLeast"/>
              <w:rPr>
                <w:rFonts w:ascii="Verdana" w:eastAsia="Times New Roman" w:hAnsi="Verdana" w:cs="Times New Roman"/>
                <w:sz w:val="18"/>
                <w:szCs w:val="18"/>
                <w:lang w:val="sr-Latn-RS"/>
              </w:rPr>
            </w:pPr>
            <w:r w:rsidRPr="00260504">
              <w:rPr>
                <w:rFonts w:ascii="Verdana" w:eastAsia="Times New Roman" w:hAnsi="Verdana" w:cs="Times New Roman"/>
                <w:sz w:val="18"/>
                <w:szCs w:val="18"/>
                <w:lang w:val="sr-Latn-RS"/>
              </w:rPr>
              <w:t>Do kraja sesije učesnici će moći da</w:t>
            </w:r>
            <w:r w:rsidR="000F7896" w:rsidRPr="00260504">
              <w:rPr>
                <w:rFonts w:ascii="Verdana" w:eastAsia="Times New Roman" w:hAnsi="Verdana" w:cs="Times New Roman"/>
                <w:sz w:val="18"/>
                <w:szCs w:val="18"/>
                <w:lang w:val="sr-Latn-RS"/>
              </w:rPr>
              <w:t>:</w:t>
            </w:r>
          </w:p>
          <w:p w14:paraId="1203114C" w14:textId="77777777" w:rsidR="000D20B4" w:rsidRPr="00260504" w:rsidRDefault="000D20B4" w:rsidP="00260504">
            <w:pPr>
              <w:pStyle w:val="ListParagraph"/>
              <w:numPr>
                <w:ilvl w:val="0"/>
                <w:numId w:val="11"/>
              </w:numPr>
              <w:spacing w:before="120" w:after="120" w:line="260" w:lineRule="atLeast"/>
              <w:contextualSpacing w:val="0"/>
              <w:jc w:val="both"/>
              <w:rPr>
                <w:rFonts w:ascii="Verdana" w:hAnsi="Verdana"/>
                <w:sz w:val="18"/>
                <w:szCs w:val="18"/>
                <w:lang w:val="sr-Latn-RS"/>
              </w:rPr>
            </w:pPr>
            <w:r w:rsidRPr="00260504">
              <w:rPr>
                <w:rFonts w:ascii="Verdana" w:hAnsi="Verdana"/>
                <w:sz w:val="18"/>
                <w:szCs w:val="18"/>
                <w:lang w:val="sr-Latn-RS"/>
              </w:rPr>
              <w:t xml:space="preserve">obnove pojmove u oblasti visokotehnološkog kriminala i dokaza u elektronskom obliku, kao i odgovarajuće odredbe Budimpeštanske konvencije; </w:t>
            </w:r>
          </w:p>
          <w:p w14:paraId="1ABB53F9" w14:textId="77777777" w:rsidR="000D20B4" w:rsidRPr="00260504" w:rsidRDefault="000D20B4" w:rsidP="00260504">
            <w:pPr>
              <w:pStyle w:val="ListParagraph"/>
              <w:numPr>
                <w:ilvl w:val="0"/>
                <w:numId w:val="11"/>
              </w:numPr>
              <w:spacing w:before="120" w:after="120" w:line="260" w:lineRule="atLeast"/>
              <w:contextualSpacing w:val="0"/>
              <w:jc w:val="both"/>
              <w:rPr>
                <w:rFonts w:ascii="Verdana" w:hAnsi="Verdana"/>
                <w:sz w:val="18"/>
                <w:szCs w:val="18"/>
                <w:lang w:val="sr-Latn-RS"/>
              </w:rPr>
            </w:pPr>
            <w:r w:rsidRPr="00260504">
              <w:rPr>
                <w:rFonts w:ascii="Verdana" w:hAnsi="Verdana"/>
                <w:sz w:val="18"/>
                <w:szCs w:val="18"/>
                <w:lang w:val="sr-Latn-RS"/>
              </w:rPr>
              <w:t>razumeju različite kanale i mehanizme zvanične međunarodne saradnje;</w:t>
            </w:r>
          </w:p>
          <w:p w14:paraId="1F913640" w14:textId="0F4AC0FD" w:rsidR="000D20B4" w:rsidRPr="00260504" w:rsidRDefault="000D20B4" w:rsidP="00260504">
            <w:pPr>
              <w:pStyle w:val="ListParagraph"/>
              <w:numPr>
                <w:ilvl w:val="0"/>
                <w:numId w:val="11"/>
              </w:numPr>
              <w:spacing w:before="120" w:after="120" w:line="260" w:lineRule="atLeast"/>
              <w:contextualSpacing w:val="0"/>
              <w:jc w:val="both"/>
              <w:rPr>
                <w:rFonts w:ascii="Verdana" w:hAnsi="Verdana"/>
                <w:sz w:val="18"/>
                <w:szCs w:val="18"/>
                <w:lang w:val="sr-Latn-RS"/>
              </w:rPr>
            </w:pPr>
            <w:r w:rsidRPr="00260504">
              <w:rPr>
                <w:rFonts w:ascii="Verdana" w:hAnsi="Verdana"/>
                <w:sz w:val="18"/>
                <w:szCs w:val="18"/>
                <w:lang w:val="sr-Latn-RS"/>
              </w:rPr>
              <w:t xml:space="preserve">razmotre pregled Budimpeštanske konvencije kao vodećeg alata za saradnju u oblasti visokotehnološkog kriminala i dokaza u elektronskom obliku; </w:t>
            </w:r>
          </w:p>
          <w:p w14:paraId="20DAF0F8" w14:textId="77777777" w:rsidR="000D20B4" w:rsidRPr="00260504" w:rsidRDefault="000D20B4" w:rsidP="00260504">
            <w:pPr>
              <w:pStyle w:val="ListParagraph"/>
              <w:numPr>
                <w:ilvl w:val="0"/>
                <w:numId w:val="11"/>
              </w:numPr>
              <w:spacing w:before="120" w:after="120" w:line="260" w:lineRule="atLeast"/>
              <w:contextualSpacing w:val="0"/>
              <w:jc w:val="both"/>
              <w:rPr>
                <w:rFonts w:ascii="Verdana" w:hAnsi="Verdana"/>
                <w:sz w:val="18"/>
                <w:szCs w:val="18"/>
                <w:lang w:val="sr-Latn-RS"/>
              </w:rPr>
            </w:pPr>
            <w:r w:rsidRPr="00260504">
              <w:rPr>
                <w:rFonts w:ascii="Verdana" w:hAnsi="Verdana"/>
                <w:sz w:val="18"/>
                <w:szCs w:val="18"/>
                <w:lang w:val="sr-Latn-RS"/>
              </w:rPr>
              <w:t xml:space="preserve">uoče sličnosti između različitih kanala i mehanizama međunarodne saradnje; </w:t>
            </w:r>
          </w:p>
          <w:p w14:paraId="61ABEAC5" w14:textId="668E18E2" w:rsidR="00C45A81" w:rsidRPr="00260504" w:rsidRDefault="000D20B4" w:rsidP="00260504">
            <w:pPr>
              <w:pStyle w:val="ListParagraph"/>
              <w:numPr>
                <w:ilvl w:val="0"/>
                <w:numId w:val="11"/>
              </w:numPr>
              <w:tabs>
                <w:tab w:val="left" w:pos="426"/>
                <w:tab w:val="left" w:pos="851"/>
              </w:tabs>
              <w:spacing w:before="120" w:after="120" w:line="260" w:lineRule="atLeast"/>
              <w:contextualSpacing w:val="0"/>
              <w:rPr>
                <w:rFonts w:ascii="Verdana" w:hAnsi="Verdana"/>
                <w:sz w:val="18"/>
                <w:szCs w:val="18"/>
                <w:lang w:val="sr-Latn-RS"/>
              </w:rPr>
            </w:pPr>
            <w:r w:rsidRPr="00260504">
              <w:rPr>
                <w:rFonts w:ascii="Verdana" w:hAnsi="Verdana"/>
                <w:sz w:val="18"/>
                <w:szCs w:val="18"/>
                <w:lang w:val="sr-Latn-RS"/>
              </w:rPr>
              <w:t>razmotre pregled Drugog dodatnog protokola kao mehanizma koji omogućava međunarodnu saradnju.</w:t>
            </w:r>
          </w:p>
        </w:tc>
      </w:tr>
      <w:tr w:rsidR="005703B7" w:rsidRPr="00260504" w14:paraId="03110757" w14:textId="77777777" w:rsidTr="00E31F52">
        <w:trPr>
          <w:trHeight w:val="58"/>
        </w:trPr>
        <w:tc>
          <w:tcPr>
            <w:tcW w:w="9010" w:type="dxa"/>
            <w:gridSpan w:val="3"/>
            <w:tcBorders>
              <w:bottom w:val="single" w:sz="4" w:space="0" w:color="auto"/>
            </w:tcBorders>
            <w:vAlign w:val="center"/>
          </w:tcPr>
          <w:p w14:paraId="7A064E85" w14:textId="5A44E4D8" w:rsidR="005703B7" w:rsidRPr="00260504" w:rsidRDefault="000D20B4" w:rsidP="00260504">
            <w:pPr>
              <w:spacing w:before="120" w:after="120" w:line="260" w:lineRule="atLeast"/>
              <w:rPr>
                <w:rFonts w:ascii="Verdana" w:hAnsi="Verdana"/>
                <w:b/>
                <w:color w:val="000000" w:themeColor="text1"/>
                <w:sz w:val="22"/>
                <w:szCs w:val="22"/>
                <w:lang w:val="sr-Latn-RS"/>
              </w:rPr>
            </w:pPr>
            <w:r w:rsidRPr="00260504">
              <w:rPr>
                <w:rFonts w:ascii="Verdana" w:hAnsi="Verdana"/>
                <w:b/>
                <w:color w:val="000000" w:themeColor="text1"/>
                <w:sz w:val="22"/>
                <w:szCs w:val="22"/>
                <w:lang w:val="sr-Latn-RS"/>
              </w:rPr>
              <w:t>Smernice za trenera</w:t>
            </w:r>
          </w:p>
          <w:p w14:paraId="3BDA25E4" w14:textId="77777777" w:rsidR="000D20B4" w:rsidRPr="00260504" w:rsidRDefault="000D20B4"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 xml:space="preserve">Cilj ove sesije jeste da učesnicima pruži temeljne informacije o Budimpeštanskoj konvenciji i međunarodnim okvirima koji omogućavaju međunarodnu saradnju. Sesija je pripremljena tako da učesnicima ponudi sveobuhvatni podsetnik u smislu definicija navedenih u Poglavlju I Budimpeštanske konvencije, odredbe materijalno krivičnog prava u Poglavlju II (Deo 1) i procesne odredbe u istom poglavlju (Deo 2) Konvencije. Sesija je podeljena na četiri dela, uz uvod i zaključak. </w:t>
            </w:r>
          </w:p>
          <w:p w14:paraId="5EFF4BEF" w14:textId="779271F0" w:rsidR="00C45A81" w:rsidRPr="00260504" w:rsidRDefault="002805FB"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P</w:t>
            </w:r>
            <w:r w:rsidR="000D20B4" w:rsidRPr="00260504">
              <w:rPr>
                <w:rFonts w:ascii="Verdana" w:hAnsi="Verdana"/>
                <w:sz w:val="18"/>
                <w:szCs w:val="18"/>
                <w:lang w:val="sr-Latn-RS"/>
              </w:rPr>
              <w:t xml:space="preserve">reporuka je da trener </w:t>
            </w:r>
            <w:r w:rsidRPr="00260504">
              <w:rPr>
                <w:rFonts w:ascii="Verdana" w:hAnsi="Verdana"/>
                <w:sz w:val="18"/>
                <w:szCs w:val="18"/>
                <w:lang w:val="sr-Latn-RS"/>
              </w:rPr>
              <w:t xml:space="preserve">pre izlaganja sadržaja sesije </w:t>
            </w:r>
            <w:r w:rsidR="000D20B4" w:rsidRPr="00260504">
              <w:rPr>
                <w:rFonts w:ascii="Verdana" w:hAnsi="Verdana"/>
                <w:sz w:val="18"/>
                <w:szCs w:val="18"/>
                <w:lang w:val="sr-Latn-RS"/>
              </w:rPr>
              <w:t>pregleda stavove 22</w:t>
            </w:r>
            <w:r w:rsidRPr="00260504">
              <w:rPr>
                <w:rFonts w:ascii="Verdana" w:hAnsi="Verdana"/>
                <w:sz w:val="18"/>
                <w:szCs w:val="18"/>
                <w:lang w:val="sr-Latn-RS"/>
              </w:rPr>
              <w:t>.</w:t>
            </w:r>
            <w:r w:rsidR="000D20B4" w:rsidRPr="00260504">
              <w:rPr>
                <w:rFonts w:ascii="Verdana" w:hAnsi="Verdana"/>
                <w:sz w:val="18"/>
                <w:szCs w:val="18"/>
                <w:lang w:val="sr-Latn-RS"/>
              </w:rPr>
              <w:t xml:space="preserve"> do 231</w:t>
            </w:r>
            <w:r w:rsidRPr="00260504">
              <w:rPr>
                <w:rFonts w:ascii="Verdana" w:hAnsi="Verdana"/>
                <w:sz w:val="18"/>
                <w:szCs w:val="18"/>
                <w:lang w:val="sr-Latn-RS"/>
              </w:rPr>
              <w:t>.</w:t>
            </w:r>
            <w:r w:rsidR="000D20B4" w:rsidRPr="00260504">
              <w:rPr>
                <w:rFonts w:ascii="Verdana" w:hAnsi="Verdana"/>
                <w:sz w:val="18"/>
                <w:szCs w:val="18"/>
                <w:lang w:val="sr-Latn-RS"/>
              </w:rPr>
              <w:t xml:space="preserve"> </w:t>
            </w:r>
            <w:hyperlink r:id="rId5" w:history="1">
              <w:r w:rsidR="00C45A81" w:rsidRPr="00260504">
                <w:rPr>
                  <w:rStyle w:val="Hyperlink"/>
                  <w:rFonts w:ascii="Verdana" w:hAnsi="Verdana"/>
                  <w:sz w:val="18"/>
                  <w:szCs w:val="18"/>
                  <w:lang w:val="sr-Latn-RS"/>
                </w:rPr>
                <w:t>E</w:t>
              </w:r>
              <w:r w:rsidR="000D20B4" w:rsidRPr="00260504">
                <w:rPr>
                  <w:rStyle w:val="Hyperlink"/>
                  <w:rFonts w:ascii="Verdana" w:hAnsi="Verdana"/>
                  <w:sz w:val="18"/>
                  <w:szCs w:val="18"/>
                  <w:lang w:val="sr-Latn-RS"/>
                </w:rPr>
                <w:t xml:space="preserve">ksplanatornog izveštaja uz Konvenciju o visokotehnološkom kriminalu. </w:t>
              </w:r>
            </w:hyperlink>
          </w:p>
        </w:tc>
      </w:tr>
      <w:tr w:rsidR="005A4E47" w:rsidRPr="00260504"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135489A6" w:rsidR="005A4E47" w:rsidRPr="00260504" w:rsidRDefault="000D20B4" w:rsidP="00260504">
            <w:pPr>
              <w:spacing w:before="120" w:after="120" w:line="260" w:lineRule="atLeast"/>
              <w:rPr>
                <w:rFonts w:ascii="Verdana" w:hAnsi="Verdana"/>
                <w:b/>
                <w:sz w:val="28"/>
                <w:szCs w:val="28"/>
                <w:lang w:val="sr-Latn-RS"/>
              </w:rPr>
            </w:pPr>
            <w:r w:rsidRPr="00260504">
              <w:rPr>
                <w:rFonts w:ascii="Verdana" w:hAnsi="Verdana"/>
                <w:b/>
                <w:sz w:val="28"/>
                <w:szCs w:val="28"/>
                <w:lang w:val="sr-Latn-RS"/>
              </w:rPr>
              <w:t>Sadržaj lekcije</w:t>
            </w:r>
          </w:p>
        </w:tc>
      </w:tr>
      <w:tr w:rsidR="00F1574D" w:rsidRPr="00260504" w14:paraId="57CC7AA4" w14:textId="77777777" w:rsidTr="00F1574D">
        <w:trPr>
          <w:trHeight w:val="629"/>
        </w:trPr>
        <w:tc>
          <w:tcPr>
            <w:tcW w:w="1525" w:type="dxa"/>
            <w:shd w:val="clear" w:color="auto" w:fill="D9E2F3" w:themeFill="accent1" w:themeFillTint="33"/>
            <w:vAlign w:val="center"/>
          </w:tcPr>
          <w:p w14:paraId="4538C338" w14:textId="397EB845" w:rsidR="00D82C18" w:rsidRPr="00260504" w:rsidRDefault="000D20B4" w:rsidP="00260504">
            <w:pPr>
              <w:spacing w:before="120" w:after="120" w:line="260" w:lineRule="atLeast"/>
              <w:jc w:val="center"/>
              <w:rPr>
                <w:rFonts w:ascii="Verdana" w:hAnsi="Verdana"/>
                <w:b/>
                <w:sz w:val="22"/>
                <w:szCs w:val="22"/>
                <w:lang w:val="sr-Latn-RS"/>
              </w:rPr>
            </w:pPr>
            <w:r w:rsidRPr="00260504">
              <w:rPr>
                <w:rFonts w:ascii="Verdana" w:hAnsi="Verdana"/>
                <w:b/>
                <w:sz w:val="22"/>
                <w:szCs w:val="22"/>
                <w:lang w:val="sr-Latn-RS"/>
              </w:rPr>
              <w:t>Broj slajda</w:t>
            </w:r>
          </w:p>
        </w:tc>
        <w:tc>
          <w:tcPr>
            <w:tcW w:w="7485" w:type="dxa"/>
            <w:gridSpan w:val="2"/>
            <w:shd w:val="clear" w:color="auto" w:fill="D9E2F3" w:themeFill="accent1" w:themeFillTint="33"/>
            <w:vAlign w:val="center"/>
          </w:tcPr>
          <w:p w14:paraId="2DA616FC" w14:textId="09702DCB" w:rsidR="00D82C18" w:rsidRPr="00260504" w:rsidRDefault="000D20B4" w:rsidP="00260504">
            <w:pPr>
              <w:spacing w:before="120" w:after="120" w:line="260" w:lineRule="atLeast"/>
              <w:rPr>
                <w:rFonts w:ascii="Verdana" w:hAnsi="Verdana"/>
                <w:b/>
                <w:sz w:val="22"/>
                <w:szCs w:val="22"/>
                <w:lang w:val="sr-Latn-RS"/>
              </w:rPr>
            </w:pPr>
            <w:r w:rsidRPr="00260504">
              <w:rPr>
                <w:rFonts w:ascii="Verdana" w:hAnsi="Verdana"/>
                <w:b/>
                <w:sz w:val="22"/>
                <w:szCs w:val="22"/>
                <w:lang w:val="sr-Latn-RS"/>
              </w:rPr>
              <w:t>Sadržaj</w:t>
            </w:r>
          </w:p>
        </w:tc>
      </w:tr>
      <w:tr w:rsidR="00F1574D" w:rsidRPr="00260504" w14:paraId="11A12D7E" w14:textId="77777777" w:rsidTr="000F04E4">
        <w:trPr>
          <w:trHeight w:val="591"/>
        </w:trPr>
        <w:tc>
          <w:tcPr>
            <w:tcW w:w="1525" w:type="dxa"/>
            <w:vAlign w:val="center"/>
          </w:tcPr>
          <w:p w14:paraId="67083237" w14:textId="07EB9D95" w:rsidR="00D82C18"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1 -</w:t>
            </w:r>
            <w:r w:rsidR="003630ED" w:rsidRPr="00260504">
              <w:rPr>
                <w:rFonts w:ascii="Verdana" w:hAnsi="Verdana"/>
                <w:sz w:val="18"/>
                <w:szCs w:val="18"/>
                <w:lang w:val="sr-Latn-RS"/>
              </w:rPr>
              <w:t xml:space="preserve"> </w:t>
            </w:r>
            <w:r w:rsidR="00C45A81" w:rsidRPr="00260504">
              <w:rPr>
                <w:rFonts w:ascii="Verdana" w:hAnsi="Verdana"/>
                <w:sz w:val="18"/>
                <w:szCs w:val="18"/>
                <w:lang w:val="sr-Latn-RS"/>
              </w:rPr>
              <w:t>3</w:t>
            </w:r>
          </w:p>
          <w:p w14:paraId="5A89CF27" w14:textId="2A6D5254" w:rsidR="00F1574D"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lastRenderedPageBreak/>
              <w:t>Obavezni slajdovi</w:t>
            </w:r>
          </w:p>
        </w:tc>
        <w:tc>
          <w:tcPr>
            <w:tcW w:w="7485" w:type="dxa"/>
            <w:gridSpan w:val="2"/>
            <w:vAlign w:val="center"/>
          </w:tcPr>
          <w:p w14:paraId="36345B59" w14:textId="1F9DB3C2" w:rsidR="00556D69" w:rsidRPr="00260504" w:rsidRDefault="00C07E37" w:rsidP="00260504">
            <w:pPr>
              <w:spacing w:before="120" w:after="120" w:line="260" w:lineRule="atLeast"/>
              <w:jc w:val="both"/>
              <w:rPr>
                <w:rFonts w:ascii="Verdana" w:hAnsi="Verdana"/>
                <w:color w:val="000000" w:themeColor="text1"/>
                <w:sz w:val="18"/>
                <w:szCs w:val="18"/>
                <w:lang w:val="sr-Latn-RS"/>
              </w:rPr>
            </w:pPr>
            <w:r w:rsidRPr="00260504">
              <w:rPr>
                <w:rFonts w:ascii="Verdana" w:hAnsi="Verdana"/>
                <w:color w:val="000000" w:themeColor="text1"/>
                <w:sz w:val="18"/>
                <w:szCs w:val="18"/>
                <w:lang w:val="sr-Latn-RS"/>
              </w:rPr>
              <w:lastRenderedPageBreak/>
              <w:t xml:space="preserve">Prvi slajdovi daju uvod u sesiju i obuhvataju program, ciljeve i zadatke sesije. </w:t>
            </w:r>
            <w:r w:rsidR="00556D69" w:rsidRPr="00260504">
              <w:rPr>
                <w:rFonts w:ascii="Verdana" w:hAnsi="Verdana"/>
                <w:color w:val="000000" w:themeColor="text1"/>
                <w:sz w:val="18"/>
                <w:szCs w:val="18"/>
                <w:lang w:val="sr-Latn-RS"/>
              </w:rPr>
              <w:t xml:space="preserve"> </w:t>
            </w:r>
          </w:p>
        </w:tc>
      </w:tr>
      <w:tr w:rsidR="00F1574D" w:rsidRPr="00260504" w14:paraId="65F07CB5" w14:textId="77777777" w:rsidTr="00F1574D">
        <w:trPr>
          <w:trHeight w:val="1880"/>
        </w:trPr>
        <w:tc>
          <w:tcPr>
            <w:tcW w:w="1525" w:type="dxa"/>
            <w:vAlign w:val="center"/>
          </w:tcPr>
          <w:p w14:paraId="56AF6365" w14:textId="4EB89B48" w:rsidR="00D82C18" w:rsidRPr="00260504" w:rsidRDefault="00C45A81"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4</w:t>
            </w:r>
            <w:r w:rsidR="003630ED" w:rsidRPr="00260504">
              <w:rPr>
                <w:rFonts w:ascii="Verdana" w:hAnsi="Verdana"/>
                <w:sz w:val="18"/>
                <w:szCs w:val="18"/>
                <w:lang w:val="sr-Latn-RS"/>
              </w:rPr>
              <w:t xml:space="preserve"> </w:t>
            </w:r>
            <w:r w:rsidR="00C07E37" w:rsidRPr="00260504">
              <w:rPr>
                <w:rFonts w:ascii="Verdana" w:hAnsi="Verdana"/>
                <w:sz w:val="18"/>
                <w:szCs w:val="18"/>
                <w:lang w:val="sr-Latn-RS"/>
              </w:rPr>
              <w:t>-</w:t>
            </w:r>
            <w:r w:rsidR="003630ED" w:rsidRPr="00260504">
              <w:rPr>
                <w:rFonts w:ascii="Verdana" w:hAnsi="Verdana"/>
                <w:sz w:val="18"/>
                <w:szCs w:val="18"/>
                <w:lang w:val="sr-Latn-RS"/>
              </w:rPr>
              <w:t xml:space="preserve"> </w:t>
            </w:r>
            <w:r w:rsidRPr="00260504">
              <w:rPr>
                <w:rFonts w:ascii="Verdana" w:hAnsi="Verdana"/>
                <w:sz w:val="18"/>
                <w:szCs w:val="18"/>
                <w:lang w:val="sr-Latn-RS"/>
              </w:rPr>
              <w:t>7</w:t>
            </w:r>
          </w:p>
          <w:p w14:paraId="6F5AEB2D" w14:textId="2D56633C" w:rsidR="00F1574D"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Obavezni slajdovi</w:t>
            </w:r>
          </w:p>
        </w:tc>
        <w:tc>
          <w:tcPr>
            <w:tcW w:w="7485" w:type="dxa"/>
            <w:gridSpan w:val="2"/>
            <w:vAlign w:val="center"/>
          </w:tcPr>
          <w:p w14:paraId="649FEA68" w14:textId="3095CB45" w:rsidR="0062475C" w:rsidRPr="00260504" w:rsidRDefault="00C07E37" w:rsidP="00260504">
            <w:pPr>
              <w:pStyle w:val="Subtitle"/>
              <w:spacing w:before="120" w:line="260" w:lineRule="atLeast"/>
              <w:rPr>
                <w:rFonts w:ascii="Verdana" w:eastAsia="Times New Roman" w:hAnsi="Verdana"/>
                <w:szCs w:val="18"/>
                <w:lang w:val="sr-Latn-RS"/>
              </w:rPr>
            </w:pPr>
            <w:r w:rsidRPr="00260504">
              <w:rPr>
                <w:rFonts w:ascii="Verdana" w:eastAsia="Times New Roman" w:hAnsi="Verdana"/>
                <w:szCs w:val="18"/>
                <w:lang w:val="sr-Latn-RS"/>
              </w:rPr>
              <w:t>Ovi slajdovi su, zapravo, podsetnik na to šta čini krivično delo u oblasti visokotehnološkog kriminala. Ključna poruka koju trener mora da prenese putem ovih slajdova jeste da nije sve sajber kriminal. Trener može nave</w:t>
            </w:r>
            <w:r w:rsidR="009A3975" w:rsidRPr="00260504">
              <w:rPr>
                <w:rFonts w:ascii="Verdana" w:eastAsia="Times New Roman" w:hAnsi="Verdana"/>
                <w:szCs w:val="18"/>
                <w:lang w:val="sr-Latn-RS"/>
              </w:rPr>
              <w:t>sti primere različitih tradicionalnih</w:t>
            </w:r>
            <w:r w:rsidRPr="00260504">
              <w:rPr>
                <w:rFonts w:ascii="Verdana" w:eastAsia="Times New Roman" w:hAnsi="Verdana"/>
                <w:szCs w:val="18"/>
                <w:lang w:val="sr-Latn-RS"/>
              </w:rPr>
              <w:t xml:space="preserve"> krivičnih dela (npr. ubistvo, krađa, itd.) i pitati učesnike da li sama uključeno</w:t>
            </w:r>
            <w:r w:rsidR="002805FB" w:rsidRPr="00260504">
              <w:rPr>
                <w:rFonts w:ascii="Verdana" w:eastAsia="Times New Roman" w:hAnsi="Verdana"/>
                <w:szCs w:val="18"/>
                <w:lang w:val="sr-Latn-RS"/>
              </w:rPr>
              <w:t>st računarskog sistema ili raču</w:t>
            </w:r>
            <w:r w:rsidRPr="00260504">
              <w:rPr>
                <w:rFonts w:ascii="Verdana" w:eastAsia="Times New Roman" w:hAnsi="Verdana"/>
                <w:szCs w:val="18"/>
                <w:lang w:val="sr-Latn-RS"/>
              </w:rPr>
              <w:t>n</w:t>
            </w:r>
            <w:r w:rsidR="002805FB" w:rsidRPr="00260504">
              <w:rPr>
                <w:rFonts w:ascii="Verdana" w:eastAsia="Times New Roman" w:hAnsi="Verdana"/>
                <w:szCs w:val="18"/>
                <w:lang w:val="sr-Latn-RS"/>
              </w:rPr>
              <w:t>a</w:t>
            </w:r>
            <w:r w:rsidRPr="00260504">
              <w:rPr>
                <w:rFonts w:ascii="Verdana" w:eastAsia="Times New Roman" w:hAnsi="Verdana"/>
                <w:szCs w:val="18"/>
                <w:lang w:val="sr-Latn-RS"/>
              </w:rPr>
              <w:t>rskih podataka u izvršenju krivičnog dela to delo čini delom iz oblasti visokotehnološkog kriminala.</w:t>
            </w:r>
          </w:p>
        </w:tc>
      </w:tr>
      <w:tr w:rsidR="00F1574D" w:rsidRPr="00260504" w14:paraId="15587DD6" w14:textId="77777777" w:rsidTr="002E7ADD">
        <w:trPr>
          <w:trHeight w:val="1340"/>
        </w:trPr>
        <w:tc>
          <w:tcPr>
            <w:tcW w:w="1525" w:type="dxa"/>
            <w:vAlign w:val="center"/>
          </w:tcPr>
          <w:p w14:paraId="5EBB803A" w14:textId="79732633" w:rsidR="00556D69" w:rsidRPr="00260504" w:rsidRDefault="00C45A81"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 xml:space="preserve">8 </w:t>
            </w:r>
            <w:r w:rsidR="00C07E37" w:rsidRPr="00260504">
              <w:rPr>
                <w:rFonts w:ascii="Verdana" w:hAnsi="Verdana"/>
                <w:sz w:val="18"/>
                <w:szCs w:val="18"/>
                <w:lang w:val="sr-Latn-RS"/>
              </w:rPr>
              <w:t>-</w:t>
            </w:r>
            <w:r w:rsidR="00FE45CA" w:rsidRPr="00260504">
              <w:rPr>
                <w:rFonts w:ascii="Verdana" w:hAnsi="Verdana"/>
                <w:sz w:val="18"/>
                <w:szCs w:val="18"/>
                <w:lang w:val="sr-Latn-RS"/>
              </w:rPr>
              <w:t xml:space="preserve"> </w:t>
            </w:r>
            <w:r w:rsidRPr="00260504">
              <w:rPr>
                <w:rFonts w:ascii="Verdana" w:hAnsi="Verdana"/>
                <w:sz w:val="18"/>
                <w:szCs w:val="18"/>
                <w:lang w:val="sr-Latn-RS"/>
              </w:rPr>
              <w:t>16</w:t>
            </w:r>
          </w:p>
          <w:p w14:paraId="65C32028" w14:textId="699EDAC7" w:rsidR="00F1574D"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Obavezni slajdovi</w:t>
            </w:r>
          </w:p>
        </w:tc>
        <w:tc>
          <w:tcPr>
            <w:tcW w:w="7485" w:type="dxa"/>
            <w:gridSpan w:val="2"/>
            <w:vAlign w:val="center"/>
          </w:tcPr>
          <w:p w14:paraId="09B58FC0" w14:textId="6C001FCD" w:rsidR="00637AFB" w:rsidRPr="00260504" w:rsidRDefault="00C07E37"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Ovi slajdovi čine podsetnik u smislu definicija predviđenih članom 1. Budimpeštanske konvencije (računarski sistem, računarski podaci, davalac usluga i podaci o saobraćaju). U ovom delu nalaze se i dva anketna pitanja, koja trener može iskoristiti kako bi utrdio nivo znanja učensnika</w:t>
            </w:r>
            <w:r w:rsidR="00CE67EA" w:rsidRPr="00260504">
              <w:rPr>
                <w:rFonts w:ascii="Verdana" w:hAnsi="Verdana"/>
                <w:sz w:val="18"/>
                <w:szCs w:val="18"/>
                <w:lang w:val="sr-Latn-RS"/>
              </w:rPr>
              <w:t xml:space="preserve">. </w:t>
            </w:r>
          </w:p>
        </w:tc>
      </w:tr>
      <w:tr w:rsidR="00F1574D" w:rsidRPr="00260504" w14:paraId="4F010995" w14:textId="77777777" w:rsidTr="00F1574D">
        <w:trPr>
          <w:trHeight w:val="791"/>
        </w:trPr>
        <w:tc>
          <w:tcPr>
            <w:tcW w:w="1525" w:type="dxa"/>
            <w:vAlign w:val="center"/>
          </w:tcPr>
          <w:p w14:paraId="0EC3C0F5" w14:textId="6F81D6AE" w:rsidR="00C70C5C" w:rsidRPr="00260504" w:rsidRDefault="00CE67EA"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 xml:space="preserve">17 </w:t>
            </w:r>
            <w:r w:rsidR="00027E0C" w:rsidRPr="00260504">
              <w:rPr>
                <w:rFonts w:ascii="Verdana" w:hAnsi="Verdana"/>
                <w:sz w:val="18"/>
                <w:szCs w:val="18"/>
                <w:lang w:val="sr-Latn-RS"/>
              </w:rPr>
              <w:t>-</w:t>
            </w:r>
            <w:r w:rsidRPr="00260504">
              <w:rPr>
                <w:rFonts w:ascii="Verdana" w:hAnsi="Verdana"/>
                <w:sz w:val="18"/>
                <w:szCs w:val="18"/>
                <w:lang w:val="sr-Latn-RS"/>
              </w:rPr>
              <w:t xml:space="preserve"> 86</w:t>
            </w:r>
          </w:p>
          <w:p w14:paraId="48504862" w14:textId="2C6ED160" w:rsidR="00334BD0"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Obavezni slajdovi</w:t>
            </w:r>
          </w:p>
        </w:tc>
        <w:tc>
          <w:tcPr>
            <w:tcW w:w="7485" w:type="dxa"/>
            <w:gridSpan w:val="2"/>
            <w:vAlign w:val="center"/>
          </w:tcPr>
          <w:p w14:paraId="6A36F291" w14:textId="77777777" w:rsidR="00EB6AAB" w:rsidRPr="00260504" w:rsidRDefault="00EB6AAB" w:rsidP="00260504">
            <w:pPr>
              <w:spacing w:before="120" w:after="120" w:line="260" w:lineRule="atLeast"/>
              <w:jc w:val="both"/>
              <w:rPr>
                <w:rFonts w:ascii="Verdana" w:hAnsi="Verdana"/>
                <w:szCs w:val="18"/>
                <w:lang w:val="sr-Latn-RS"/>
              </w:rPr>
            </w:pPr>
            <w:r w:rsidRPr="00260504">
              <w:rPr>
                <w:rFonts w:ascii="Verdana" w:hAnsi="Verdana"/>
                <w:sz w:val="18"/>
                <w:szCs w:val="18"/>
                <w:lang w:val="sr-Latn-RS"/>
              </w:rPr>
              <w:t>Ovi slajdovi omogućavaju učesnicima da osveže svoja znanja o odredbama materijalno krivičnog prava u članovima 2. do 12. Budimpeštanske konvencije (nezakonit pristup, nezakonito presretanje, ometanje podataka, ometanje sistema, zloupotreba uređaja, falsifikovanje u vezi s računarima, prevara u vezi s računarima, dečija pornografija, dela u vezi s kršenjem autorskih i srodnih prava, pokušaj, pomaganje ili podstrekivanje, odgovornost pravnog lica). U ovom delu se takođe nalazi nekoliko anketnih pitanja, koja trener može iskoristiti da proceni nivo znanja učesnika</w:t>
            </w:r>
            <w:r w:rsidRPr="00260504">
              <w:rPr>
                <w:rFonts w:ascii="Verdana" w:hAnsi="Verdana"/>
                <w:szCs w:val="18"/>
                <w:lang w:val="sr-Latn-RS"/>
              </w:rPr>
              <w:t xml:space="preserve">. </w:t>
            </w:r>
          </w:p>
          <w:p w14:paraId="4AF5B3D7" w14:textId="59049238" w:rsidR="0095051C" w:rsidRPr="00260504" w:rsidRDefault="00EB6AAB" w:rsidP="00260504">
            <w:pPr>
              <w:pStyle w:val="Subtitle"/>
              <w:spacing w:before="120" w:line="260" w:lineRule="atLeast"/>
              <w:rPr>
                <w:rFonts w:ascii="Verdana" w:eastAsia="Times New Roman" w:hAnsi="Verdana"/>
                <w:iCs w:val="0"/>
                <w:lang w:val="sr-Latn-RS"/>
              </w:rPr>
            </w:pPr>
            <w:r w:rsidRPr="00260504">
              <w:rPr>
                <w:rFonts w:ascii="Verdana" w:hAnsi="Verdana"/>
                <w:szCs w:val="18"/>
                <w:lang w:val="sr-Latn-RS"/>
              </w:rPr>
              <w:t>U prvoj grupi slajdova se rezimiraju osnovni elementi materijalno-pravnih odredbi. Preostali slajdovi podeljeni su u dve kolone. U levoj je tekst Budimpeštanske konvencije u kome je određeni element markiran bojom, dok je u koloni s desne strane objašnjenje tog elementa. Od trenera se očekuje da prođe kroz sve elemente, kako bi učesnici stekli sveobuhvatno znanje o tim odredbama. Ukoliko, međutim, trener smatra da učesnici poseduju dovoljno znanja, mogu se obraditi sumarni slajdovi na početku svakog člana, umesto slajdova s detaljnim tekstom i posebnim elementima</w:t>
            </w:r>
            <w:r w:rsidR="0095051C" w:rsidRPr="00260504">
              <w:rPr>
                <w:rFonts w:ascii="Verdana" w:hAnsi="Verdana"/>
                <w:szCs w:val="18"/>
                <w:lang w:val="sr-Latn-RS"/>
              </w:rPr>
              <w:t>.</w:t>
            </w:r>
          </w:p>
        </w:tc>
      </w:tr>
      <w:tr w:rsidR="00CE67EA" w:rsidRPr="00260504" w14:paraId="36E3D895" w14:textId="77777777" w:rsidTr="00F1574D">
        <w:trPr>
          <w:trHeight w:val="791"/>
        </w:trPr>
        <w:tc>
          <w:tcPr>
            <w:tcW w:w="1525" w:type="dxa"/>
            <w:vAlign w:val="center"/>
          </w:tcPr>
          <w:p w14:paraId="14511361" w14:textId="6B9C92BA" w:rsidR="00CA7AE4" w:rsidRPr="00260504" w:rsidRDefault="00D71469"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87 -</w:t>
            </w:r>
            <w:r w:rsidR="00CA7AE4" w:rsidRPr="00260504">
              <w:rPr>
                <w:rFonts w:ascii="Verdana" w:hAnsi="Verdana"/>
                <w:sz w:val="18"/>
                <w:szCs w:val="18"/>
                <w:lang w:val="sr-Latn-RS"/>
              </w:rPr>
              <w:t xml:space="preserve"> 152</w:t>
            </w:r>
          </w:p>
          <w:p w14:paraId="3303FBB7" w14:textId="1E8F6252" w:rsidR="00CE67EA"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Obavezni slajdovi</w:t>
            </w:r>
          </w:p>
        </w:tc>
        <w:tc>
          <w:tcPr>
            <w:tcW w:w="7485" w:type="dxa"/>
            <w:gridSpan w:val="2"/>
            <w:vAlign w:val="center"/>
          </w:tcPr>
          <w:p w14:paraId="7127E354" w14:textId="77777777" w:rsidR="00D71469" w:rsidRPr="00260504" w:rsidRDefault="00D71469"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 xml:space="preserve">Ovi slajdovi omogućavaju učesnicima da osveže svoja znanja o odredbama procesnog prava u članovima 14. do 21. Budimpeštanske konvencije (oblast primene procesnih odredbi, uslovi i ograničenja, hitna zaštita sačuvanih računarskih podataka, hitna zaštita i delimično otkrivanje podataka o saobraćaju, izdavanje naredbe, pretraživanje i zaplena sačuvanih računarskih podataka, prikupljanje podataka o saobraćaju u realnom vremenu i presretanje podataka iz sadržaja). U ovom delu se nalazi nekoliko anketnih pitanja, koja trener može iskoristiti da proceni nivo znanja učesnika. </w:t>
            </w:r>
          </w:p>
          <w:p w14:paraId="224907F3" w14:textId="77777777" w:rsidR="00D71469" w:rsidRPr="00260504" w:rsidRDefault="00D71469"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U prvoj grupi slajdova se rezimiraju osnovni elementi procesnih odredbi. Preostali slajdovi podeljeni su u dve kolone. U levoj je tekst Budimpeštanske konvencije u kome je određeni element markiran bojom, dok je u koloni s desne strane objašnjenje tog elementa. Od trenera se očekuje da prođe kroz sve elemente, kako bi učesnici stekli sveobuhvatno znanje o tim odredbama. Ukoliko, međutim, trener smatra da učesnici poseduju dovoljno znanja, mogu se obraditi sumarni slajdovi na početku svakog člana, umesto slajdova s detaljnim tekstom i posebnim elementima.</w:t>
            </w:r>
          </w:p>
          <w:p w14:paraId="3ADC7791" w14:textId="5B926B77" w:rsidR="00CE67EA" w:rsidRPr="00260504" w:rsidRDefault="00D71469"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Trener treba konstantno da podseća učesnike da je ključno da razumeju procesne odredbe u svrhe ovog kursa, jer se one koriste za primenu mera koje se preduzimaju u skladu sa zahtevima za uzajamnu pomoć</w:t>
            </w:r>
            <w:r w:rsidR="003804C3" w:rsidRPr="00260504">
              <w:rPr>
                <w:rFonts w:ascii="Verdana" w:hAnsi="Verdana"/>
                <w:sz w:val="18"/>
                <w:szCs w:val="18"/>
                <w:lang w:val="sr-Latn-RS"/>
              </w:rPr>
              <w:t>.</w:t>
            </w:r>
          </w:p>
        </w:tc>
      </w:tr>
      <w:tr w:rsidR="00CA7AE4" w:rsidRPr="00260504" w14:paraId="22C5AB80" w14:textId="77777777" w:rsidTr="00F1574D">
        <w:trPr>
          <w:trHeight w:val="791"/>
        </w:trPr>
        <w:tc>
          <w:tcPr>
            <w:tcW w:w="1525" w:type="dxa"/>
            <w:vAlign w:val="center"/>
          </w:tcPr>
          <w:p w14:paraId="0D063FA8" w14:textId="3236B3C3" w:rsidR="00CA7AE4" w:rsidRPr="00260504" w:rsidRDefault="00D71469"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153 -</w:t>
            </w:r>
            <w:r w:rsidR="00CA7AE4" w:rsidRPr="00260504">
              <w:rPr>
                <w:rFonts w:ascii="Verdana" w:hAnsi="Verdana"/>
                <w:sz w:val="18"/>
                <w:szCs w:val="18"/>
                <w:lang w:val="sr-Latn-RS"/>
              </w:rPr>
              <w:t xml:space="preserve"> 1</w:t>
            </w:r>
            <w:r w:rsidR="009D4199" w:rsidRPr="00260504">
              <w:rPr>
                <w:rFonts w:ascii="Verdana" w:hAnsi="Verdana"/>
                <w:sz w:val="18"/>
                <w:szCs w:val="18"/>
                <w:lang w:val="sr-Latn-RS"/>
              </w:rPr>
              <w:t>66</w:t>
            </w:r>
          </w:p>
          <w:p w14:paraId="209E53F0" w14:textId="25B1834F" w:rsidR="00CA7AE4"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lastRenderedPageBreak/>
              <w:t>Obavezni slajdovi</w:t>
            </w:r>
          </w:p>
        </w:tc>
        <w:tc>
          <w:tcPr>
            <w:tcW w:w="7485" w:type="dxa"/>
            <w:gridSpan w:val="2"/>
            <w:vAlign w:val="center"/>
          </w:tcPr>
          <w:p w14:paraId="7506D927" w14:textId="1F2DBEA4" w:rsidR="00CA7AE4" w:rsidRPr="00260504" w:rsidRDefault="009176B4"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lastRenderedPageBreak/>
              <w:t xml:space="preserve">Ovi slajdovi daju prikaz međunarodne situacije u smislu zvanične međunarodne saradnje. Navode se konvencije Kancelarije Ujedinjenih nacija za borbu protiv droge i kriminala (UNODC) - Konvencija ujedinjenih nacija protiv </w:t>
            </w:r>
            <w:r w:rsidRPr="00260504">
              <w:rPr>
                <w:rFonts w:ascii="Verdana" w:hAnsi="Verdana"/>
                <w:sz w:val="18"/>
                <w:szCs w:val="18"/>
                <w:lang w:val="sr-Latn-RS"/>
              </w:rPr>
              <w:lastRenderedPageBreak/>
              <w:t>transnacionalnog organizovanog kriminala (UNTOC) i Konvencija UN protiv korupcije (UNCAC) – konvencije Saveta Evrope (Budimpeštanska konvencija i Konvencija SE o uzajamnoj pomoći u krivičnim stvarima), nakon čega se razmatraju drugi regionalni instrumenti. Ovaj deo se završava anketnim pitanjem</w:t>
            </w:r>
            <w:r w:rsidR="009D4199" w:rsidRPr="00260504">
              <w:rPr>
                <w:rFonts w:ascii="Verdana" w:hAnsi="Verdana"/>
                <w:sz w:val="18"/>
                <w:szCs w:val="18"/>
                <w:lang w:val="sr-Latn-RS"/>
              </w:rPr>
              <w:t>.</w:t>
            </w:r>
            <w:r w:rsidRPr="00260504">
              <w:rPr>
                <w:rFonts w:ascii="Verdana" w:hAnsi="Verdana"/>
                <w:sz w:val="18"/>
                <w:szCs w:val="18"/>
                <w:lang w:val="sr-Latn-RS"/>
              </w:rPr>
              <w:t xml:space="preserve"> </w:t>
            </w:r>
          </w:p>
        </w:tc>
      </w:tr>
      <w:tr w:rsidR="009D4199" w:rsidRPr="00260504" w14:paraId="710946DE" w14:textId="77777777" w:rsidTr="00F1574D">
        <w:trPr>
          <w:trHeight w:val="791"/>
        </w:trPr>
        <w:tc>
          <w:tcPr>
            <w:tcW w:w="1525" w:type="dxa"/>
            <w:vAlign w:val="center"/>
          </w:tcPr>
          <w:p w14:paraId="67D7E03E" w14:textId="7C789C5C" w:rsidR="009D4199" w:rsidRPr="00260504" w:rsidRDefault="009176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lastRenderedPageBreak/>
              <w:t>167 -</w:t>
            </w:r>
            <w:r w:rsidR="009D4199" w:rsidRPr="00260504">
              <w:rPr>
                <w:rFonts w:ascii="Verdana" w:hAnsi="Verdana"/>
                <w:sz w:val="18"/>
                <w:szCs w:val="18"/>
                <w:lang w:val="sr-Latn-RS"/>
              </w:rPr>
              <w:t xml:space="preserve"> 175</w:t>
            </w:r>
          </w:p>
          <w:p w14:paraId="25C948CE" w14:textId="7EEBDAD6" w:rsidR="009D4199"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Obavezni slajdovi</w:t>
            </w:r>
          </w:p>
        </w:tc>
        <w:tc>
          <w:tcPr>
            <w:tcW w:w="7485" w:type="dxa"/>
            <w:gridSpan w:val="2"/>
            <w:vAlign w:val="center"/>
          </w:tcPr>
          <w:p w14:paraId="35FAC94C" w14:textId="0D561245" w:rsidR="009D4199" w:rsidRPr="00260504" w:rsidRDefault="009176B4"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Ovi slajdovi pružaju uvid u opseg i domet Budimpeštanske konvencije. Na njima su prikazana „tri stuba“ Budimpeštanske konvencije (tj. inkriminisanje radnje, procesni alati i međunarodna saradnja). Trener može objasniti da su prva dva obrađena u prethodnom delu sesije i da će „stub“ koji je najvažniji za ovaj kurs, a to je međunarodna saradnja, biti obrađen sutradan. Ovaj deo se završava slajdom na kome je sažetak odredbi Budimpeštanske konvencije koje se odnose na međunarodnu saradnju</w:t>
            </w:r>
            <w:r w:rsidR="009D4199" w:rsidRPr="00260504">
              <w:rPr>
                <w:rFonts w:ascii="Verdana" w:hAnsi="Verdana"/>
                <w:sz w:val="18"/>
                <w:szCs w:val="18"/>
                <w:lang w:val="sr-Latn-RS"/>
              </w:rPr>
              <w:t xml:space="preserve">. </w:t>
            </w:r>
          </w:p>
        </w:tc>
      </w:tr>
      <w:tr w:rsidR="00CA7AE4" w:rsidRPr="00260504" w14:paraId="1124B11E" w14:textId="77777777" w:rsidTr="00F1574D">
        <w:trPr>
          <w:trHeight w:val="791"/>
        </w:trPr>
        <w:tc>
          <w:tcPr>
            <w:tcW w:w="1525" w:type="dxa"/>
            <w:vAlign w:val="center"/>
          </w:tcPr>
          <w:p w14:paraId="66E0E3DD" w14:textId="14595FF8" w:rsidR="00CA7AE4" w:rsidRPr="00260504" w:rsidRDefault="009176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176 -</w:t>
            </w:r>
            <w:r w:rsidR="00CA7AE4" w:rsidRPr="00260504">
              <w:rPr>
                <w:rFonts w:ascii="Verdana" w:hAnsi="Verdana"/>
                <w:sz w:val="18"/>
                <w:szCs w:val="18"/>
                <w:lang w:val="sr-Latn-RS"/>
              </w:rPr>
              <w:t xml:space="preserve"> 184</w:t>
            </w:r>
          </w:p>
          <w:p w14:paraId="2FDE460E" w14:textId="19FC983B" w:rsidR="00CA7AE4"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Obavezni slajdovi</w:t>
            </w:r>
          </w:p>
        </w:tc>
        <w:tc>
          <w:tcPr>
            <w:tcW w:w="7485" w:type="dxa"/>
            <w:gridSpan w:val="2"/>
            <w:vAlign w:val="center"/>
          </w:tcPr>
          <w:p w14:paraId="7D32639E" w14:textId="60AD38FC" w:rsidR="00CA7AE4" w:rsidRPr="00260504" w:rsidRDefault="005A7838"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Na ovim slajdovima dat je pregled Drugog dodatnog protokola uz Budimpeštansku konvenciju. Tu se navodi kratak istorijski kontekst koji se odnosi na Protokol, Radnu grupu za prekograničnu saradnju i Grupu za pristup dokazima u oblaku, pre detaljnijeg osvrta na rad Grupe za nacrt protokola. Iako se ovim učesnicima daju naznake delokruga Drugog dodatnog protokola, važno je da se ovi slajdovi ažuriraju pre svakog prikazivanja kako bi odražavali trenutno stanje tokom pripreme Protokola. Ovaj deo se završava jednostavnim anketnim pitanjem</w:t>
            </w:r>
            <w:r w:rsidR="009054B7" w:rsidRPr="00260504">
              <w:rPr>
                <w:rFonts w:ascii="Verdana" w:hAnsi="Verdana"/>
                <w:sz w:val="18"/>
                <w:szCs w:val="18"/>
                <w:lang w:val="sr-Latn-RS"/>
              </w:rPr>
              <w:t>.</w:t>
            </w:r>
          </w:p>
        </w:tc>
      </w:tr>
      <w:tr w:rsidR="00F1574D" w:rsidRPr="00260504" w14:paraId="3C4A313A" w14:textId="77777777" w:rsidTr="00F1574D">
        <w:trPr>
          <w:trHeight w:val="890"/>
        </w:trPr>
        <w:tc>
          <w:tcPr>
            <w:tcW w:w="1525" w:type="dxa"/>
            <w:vAlign w:val="center"/>
          </w:tcPr>
          <w:p w14:paraId="7D3B0567" w14:textId="44EE74FA" w:rsidR="00F1574D" w:rsidRPr="00260504" w:rsidRDefault="009D4199"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 xml:space="preserve">185 </w:t>
            </w:r>
            <w:r w:rsidR="00334BD0" w:rsidRPr="00260504">
              <w:rPr>
                <w:rFonts w:ascii="Verdana" w:hAnsi="Verdana"/>
                <w:sz w:val="18"/>
                <w:szCs w:val="18"/>
                <w:lang w:val="sr-Latn-RS"/>
              </w:rPr>
              <w:t xml:space="preserve">– </w:t>
            </w:r>
            <w:r w:rsidRPr="00260504">
              <w:rPr>
                <w:rFonts w:ascii="Verdana" w:hAnsi="Verdana"/>
                <w:sz w:val="18"/>
                <w:szCs w:val="18"/>
                <w:lang w:val="sr-Latn-RS"/>
              </w:rPr>
              <w:t>187</w:t>
            </w:r>
          </w:p>
          <w:p w14:paraId="00098EC4" w14:textId="6AF4EC75" w:rsidR="00334BD0" w:rsidRPr="00260504" w:rsidRDefault="000D20B4" w:rsidP="00260504">
            <w:pPr>
              <w:spacing w:before="120" w:after="120" w:line="260" w:lineRule="atLeast"/>
              <w:jc w:val="center"/>
              <w:rPr>
                <w:rFonts w:ascii="Verdana" w:hAnsi="Verdana"/>
                <w:sz w:val="18"/>
                <w:szCs w:val="18"/>
                <w:lang w:val="sr-Latn-RS"/>
              </w:rPr>
            </w:pPr>
            <w:r w:rsidRPr="00260504">
              <w:rPr>
                <w:rFonts w:ascii="Verdana" w:hAnsi="Verdana"/>
                <w:sz w:val="18"/>
                <w:szCs w:val="18"/>
                <w:lang w:val="sr-Latn-RS"/>
              </w:rPr>
              <w:t>Važni slajdovi</w:t>
            </w:r>
          </w:p>
        </w:tc>
        <w:tc>
          <w:tcPr>
            <w:tcW w:w="7485" w:type="dxa"/>
            <w:gridSpan w:val="2"/>
            <w:vAlign w:val="center"/>
          </w:tcPr>
          <w:p w14:paraId="09B693A1" w14:textId="05092887" w:rsidR="00556D69" w:rsidRPr="00260504" w:rsidRDefault="005A7838" w:rsidP="00260504">
            <w:pPr>
              <w:spacing w:before="120" w:after="120" w:line="260" w:lineRule="atLeast"/>
              <w:jc w:val="both"/>
              <w:rPr>
                <w:rFonts w:ascii="Verdana" w:hAnsi="Verdana"/>
                <w:sz w:val="18"/>
                <w:szCs w:val="18"/>
                <w:lang w:val="sr-Latn-RS"/>
              </w:rPr>
            </w:pPr>
            <w:r w:rsidRPr="00260504">
              <w:rPr>
                <w:rFonts w:ascii="Verdana" w:hAnsi="Verdana"/>
                <w:sz w:val="18"/>
                <w:szCs w:val="18"/>
                <w:lang w:val="sr-Latn-RS"/>
              </w:rPr>
              <w:t>Trener treba da rekapitulira ciljeve sesije sa učesnicima, dajući im priliku da postave bilo koje pitanje koje se odnosi na materijal obuhvaćen ovim modulom</w:t>
            </w:r>
            <w:r w:rsidR="00334BD0" w:rsidRPr="00260504">
              <w:rPr>
                <w:rFonts w:ascii="Verdana" w:hAnsi="Verdana"/>
                <w:sz w:val="18"/>
                <w:szCs w:val="18"/>
                <w:lang w:val="sr-Latn-RS"/>
              </w:rPr>
              <w:t>.</w:t>
            </w:r>
          </w:p>
        </w:tc>
      </w:tr>
      <w:tr w:rsidR="00CB3026" w:rsidRPr="00260504" w14:paraId="2ECF09B7" w14:textId="77777777" w:rsidTr="00F1574D">
        <w:trPr>
          <w:trHeight w:val="890"/>
        </w:trPr>
        <w:tc>
          <w:tcPr>
            <w:tcW w:w="9010" w:type="dxa"/>
            <w:gridSpan w:val="3"/>
            <w:vAlign w:val="center"/>
          </w:tcPr>
          <w:p w14:paraId="48D19878" w14:textId="77777777" w:rsidR="005A7838" w:rsidRPr="00260504" w:rsidRDefault="005A7838" w:rsidP="00260504">
            <w:pPr>
              <w:spacing w:before="120" w:after="120" w:line="260" w:lineRule="atLeast"/>
              <w:rPr>
                <w:rFonts w:ascii="Verdana" w:hAnsi="Verdana"/>
                <w:b/>
                <w:sz w:val="22"/>
                <w:szCs w:val="22"/>
                <w:lang w:val="sr-Latn-RS"/>
              </w:rPr>
            </w:pPr>
            <w:r w:rsidRPr="00260504">
              <w:rPr>
                <w:rFonts w:ascii="Verdana" w:hAnsi="Verdana"/>
                <w:b/>
                <w:sz w:val="22"/>
                <w:szCs w:val="22"/>
                <w:lang w:val="sr-Latn-RS"/>
              </w:rPr>
              <w:t>Praktične vežbe</w:t>
            </w:r>
          </w:p>
          <w:p w14:paraId="04D65D89" w14:textId="2F7027DC" w:rsidR="00CB3026" w:rsidRPr="00260504" w:rsidRDefault="005A7838" w:rsidP="00260504">
            <w:pPr>
              <w:spacing w:before="120" w:after="120" w:line="260" w:lineRule="atLeast"/>
              <w:rPr>
                <w:rFonts w:ascii="Verdana" w:hAnsi="Verdana"/>
                <w:sz w:val="18"/>
                <w:szCs w:val="18"/>
                <w:lang w:val="sr-Latn-RS"/>
              </w:rPr>
            </w:pPr>
            <w:r w:rsidRPr="00260504">
              <w:rPr>
                <w:rFonts w:ascii="Verdana" w:hAnsi="Verdana"/>
                <w:color w:val="000000" w:themeColor="text1"/>
                <w:sz w:val="18"/>
                <w:szCs w:val="18"/>
                <w:lang w:val="sr-Latn-RS"/>
              </w:rPr>
              <w:t xml:space="preserve">Uz ovu lekciju nisu predviđene praktične vežbe. </w:t>
            </w:r>
          </w:p>
        </w:tc>
      </w:tr>
      <w:tr w:rsidR="00CB3026" w:rsidRPr="00260504" w14:paraId="603967A2" w14:textId="77777777" w:rsidTr="00F1574D">
        <w:tc>
          <w:tcPr>
            <w:tcW w:w="9010" w:type="dxa"/>
            <w:gridSpan w:val="3"/>
            <w:vAlign w:val="center"/>
          </w:tcPr>
          <w:p w14:paraId="6CB1C10E" w14:textId="77777777" w:rsidR="005A7838" w:rsidRPr="00260504" w:rsidRDefault="005A7838" w:rsidP="00260504">
            <w:pPr>
              <w:spacing w:before="120" w:after="120" w:line="260" w:lineRule="atLeast"/>
              <w:rPr>
                <w:rFonts w:ascii="Verdana" w:hAnsi="Verdana"/>
                <w:b/>
                <w:sz w:val="22"/>
                <w:szCs w:val="22"/>
                <w:lang w:val="sr-Latn-RS"/>
              </w:rPr>
            </w:pPr>
            <w:r w:rsidRPr="00260504">
              <w:rPr>
                <w:rFonts w:ascii="Verdana" w:hAnsi="Verdana"/>
                <w:b/>
                <w:sz w:val="22"/>
                <w:szCs w:val="22"/>
                <w:lang w:val="sr-Latn-RS"/>
              </w:rPr>
              <w:t>Procena/Provera znanja</w:t>
            </w:r>
          </w:p>
          <w:p w14:paraId="4496975B" w14:textId="7A482BF2" w:rsidR="00CB3026" w:rsidRPr="00260504" w:rsidRDefault="005A7838" w:rsidP="00260504">
            <w:pPr>
              <w:spacing w:before="120" w:after="120" w:line="260" w:lineRule="atLeast"/>
              <w:rPr>
                <w:rFonts w:ascii="Verdana" w:hAnsi="Verdana"/>
                <w:sz w:val="18"/>
                <w:szCs w:val="18"/>
                <w:lang w:val="sr-Latn-RS"/>
              </w:rPr>
            </w:pPr>
            <w:r w:rsidRPr="00260504">
              <w:rPr>
                <w:rFonts w:ascii="Verdana" w:hAnsi="Verdana"/>
                <w:color w:val="000000" w:themeColor="text1"/>
                <w:sz w:val="18"/>
                <w:szCs w:val="18"/>
                <w:lang w:val="sr-Latn-RS"/>
              </w:rPr>
              <w:t>Za ovu sesiju se ne traži provera znanja ili procena</w:t>
            </w:r>
            <w:r w:rsidR="005D2065" w:rsidRPr="00260504">
              <w:rPr>
                <w:rFonts w:ascii="Verdana" w:hAnsi="Verdana"/>
                <w:color w:val="000000" w:themeColor="text1"/>
                <w:sz w:val="18"/>
                <w:szCs w:val="18"/>
                <w:lang w:val="sr-Latn-RS"/>
              </w:rPr>
              <w:t>.</w:t>
            </w:r>
          </w:p>
        </w:tc>
      </w:tr>
    </w:tbl>
    <w:p w14:paraId="15498912" w14:textId="77777777" w:rsidR="00D82C18" w:rsidRPr="00260504" w:rsidRDefault="00D82C18" w:rsidP="00260504">
      <w:pPr>
        <w:spacing w:before="120" w:after="120" w:line="260" w:lineRule="atLeast"/>
        <w:rPr>
          <w:rFonts w:ascii="Verdana" w:hAnsi="Verdana"/>
          <w:lang w:val="sr-Latn-RS"/>
        </w:rPr>
      </w:pPr>
    </w:p>
    <w:sectPr w:rsidR="00D82C18" w:rsidRPr="00260504"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860D4"/>
    <w:multiLevelType w:val="hybridMultilevel"/>
    <w:tmpl w:val="F022C83E"/>
    <w:lvl w:ilvl="0" w:tplc="689C86DE">
      <w:start w:val="1"/>
      <w:numFmt w:val="bullet"/>
      <w:lvlText w:val=""/>
      <w:lvlJc w:val="left"/>
      <w:pPr>
        <w:tabs>
          <w:tab w:val="num" w:pos="720"/>
        </w:tabs>
        <w:ind w:left="720" w:hanging="360"/>
      </w:pPr>
      <w:rPr>
        <w:rFonts w:ascii="Wingdings" w:hAnsi="Wingdings" w:hint="default"/>
      </w:rPr>
    </w:lvl>
    <w:lvl w:ilvl="1" w:tplc="8D30D3F8" w:tentative="1">
      <w:start w:val="1"/>
      <w:numFmt w:val="bullet"/>
      <w:lvlText w:val=""/>
      <w:lvlJc w:val="left"/>
      <w:pPr>
        <w:tabs>
          <w:tab w:val="num" w:pos="1440"/>
        </w:tabs>
        <w:ind w:left="1440" w:hanging="360"/>
      </w:pPr>
      <w:rPr>
        <w:rFonts w:ascii="Wingdings" w:hAnsi="Wingdings" w:hint="default"/>
      </w:rPr>
    </w:lvl>
    <w:lvl w:ilvl="2" w:tplc="6BB20E78" w:tentative="1">
      <w:start w:val="1"/>
      <w:numFmt w:val="bullet"/>
      <w:lvlText w:val=""/>
      <w:lvlJc w:val="left"/>
      <w:pPr>
        <w:tabs>
          <w:tab w:val="num" w:pos="2160"/>
        </w:tabs>
        <w:ind w:left="2160" w:hanging="360"/>
      </w:pPr>
      <w:rPr>
        <w:rFonts w:ascii="Wingdings" w:hAnsi="Wingdings" w:hint="default"/>
      </w:rPr>
    </w:lvl>
    <w:lvl w:ilvl="3" w:tplc="7C22B948" w:tentative="1">
      <w:start w:val="1"/>
      <w:numFmt w:val="bullet"/>
      <w:lvlText w:val=""/>
      <w:lvlJc w:val="left"/>
      <w:pPr>
        <w:tabs>
          <w:tab w:val="num" w:pos="2880"/>
        </w:tabs>
        <w:ind w:left="2880" w:hanging="360"/>
      </w:pPr>
      <w:rPr>
        <w:rFonts w:ascii="Wingdings" w:hAnsi="Wingdings" w:hint="default"/>
      </w:rPr>
    </w:lvl>
    <w:lvl w:ilvl="4" w:tplc="9CBED066" w:tentative="1">
      <w:start w:val="1"/>
      <w:numFmt w:val="bullet"/>
      <w:lvlText w:val=""/>
      <w:lvlJc w:val="left"/>
      <w:pPr>
        <w:tabs>
          <w:tab w:val="num" w:pos="3600"/>
        </w:tabs>
        <w:ind w:left="3600" w:hanging="360"/>
      </w:pPr>
      <w:rPr>
        <w:rFonts w:ascii="Wingdings" w:hAnsi="Wingdings" w:hint="default"/>
      </w:rPr>
    </w:lvl>
    <w:lvl w:ilvl="5" w:tplc="575276DA" w:tentative="1">
      <w:start w:val="1"/>
      <w:numFmt w:val="bullet"/>
      <w:lvlText w:val=""/>
      <w:lvlJc w:val="left"/>
      <w:pPr>
        <w:tabs>
          <w:tab w:val="num" w:pos="4320"/>
        </w:tabs>
        <w:ind w:left="4320" w:hanging="360"/>
      </w:pPr>
      <w:rPr>
        <w:rFonts w:ascii="Wingdings" w:hAnsi="Wingdings" w:hint="default"/>
      </w:rPr>
    </w:lvl>
    <w:lvl w:ilvl="6" w:tplc="FAC623F4" w:tentative="1">
      <w:start w:val="1"/>
      <w:numFmt w:val="bullet"/>
      <w:lvlText w:val=""/>
      <w:lvlJc w:val="left"/>
      <w:pPr>
        <w:tabs>
          <w:tab w:val="num" w:pos="5040"/>
        </w:tabs>
        <w:ind w:left="5040" w:hanging="360"/>
      </w:pPr>
      <w:rPr>
        <w:rFonts w:ascii="Wingdings" w:hAnsi="Wingdings" w:hint="default"/>
      </w:rPr>
    </w:lvl>
    <w:lvl w:ilvl="7" w:tplc="D1903D32" w:tentative="1">
      <w:start w:val="1"/>
      <w:numFmt w:val="bullet"/>
      <w:lvlText w:val=""/>
      <w:lvlJc w:val="left"/>
      <w:pPr>
        <w:tabs>
          <w:tab w:val="num" w:pos="5760"/>
        </w:tabs>
        <w:ind w:left="5760" w:hanging="360"/>
      </w:pPr>
      <w:rPr>
        <w:rFonts w:ascii="Wingdings" w:hAnsi="Wingdings" w:hint="default"/>
      </w:rPr>
    </w:lvl>
    <w:lvl w:ilvl="8" w:tplc="22486C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F63F1"/>
    <w:multiLevelType w:val="hybridMultilevel"/>
    <w:tmpl w:val="B5AC0418"/>
    <w:lvl w:ilvl="0" w:tplc="8C82C4C0">
      <w:start w:val="1"/>
      <w:numFmt w:val="bullet"/>
      <w:lvlText w:val=""/>
      <w:lvlJc w:val="left"/>
      <w:pPr>
        <w:tabs>
          <w:tab w:val="num" w:pos="720"/>
        </w:tabs>
        <w:ind w:left="720" w:hanging="360"/>
      </w:pPr>
      <w:rPr>
        <w:rFonts w:ascii="Wingdings" w:hAnsi="Wingdings" w:hint="default"/>
      </w:rPr>
    </w:lvl>
    <w:lvl w:ilvl="1" w:tplc="6B8E980E" w:tentative="1">
      <w:start w:val="1"/>
      <w:numFmt w:val="bullet"/>
      <w:lvlText w:val=""/>
      <w:lvlJc w:val="left"/>
      <w:pPr>
        <w:tabs>
          <w:tab w:val="num" w:pos="1440"/>
        </w:tabs>
        <w:ind w:left="1440" w:hanging="360"/>
      </w:pPr>
      <w:rPr>
        <w:rFonts w:ascii="Wingdings" w:hAnsi="Wingdings" w:hint="default"/>
      </w:rPr>
    </w:lvl>
    <w:lvl w:ilvl="2" w:tplc="B4EA0AAE" w:tentative="1">
      <w:start w:val="1"/>
      <w:numFmt w:val="bullet"/>
      <w:lvlText w:val=""/>
      <w:lvlJc w:val="left"/>
      <w:pPr>
        <w:tabs>
          <w:tab w:val="num" w:pos="2160"/>
        </w:tabs>
        <w:ind w:left="2160" w:hanging="360"/>
      </w:pPr>
      <w:rPr>
        <w:rFonts w:ascii="Wingdings" w:hAnsi="Wingdings" w:hint="default"/>
      </w:rPr>
    </w:lvl>
    <w:lvl w:ilvl="3" w:tplc="05329310" w:tentative="1">
      <w:start w:val="1"/>
      <w:numFmt w:val="bullet"/>
      <w:lvlText w:val=""/>
      <w:lvlJc w:val="left"/>
      <w:pPr>
        <w:tabs>
          <w:tab w:val="num" w:pos="2880"/>
        </w:tabs>
        <w:ind w:left="2880" w:hanging="360"/>
      </w:pPr>
      <w:rPr>
        <w:rFonts w:ascii="Wingdings" w:hAnsi="Wingdings" w:hint="default"/>
      </w:rPr>
    </w:lvl>
    <w:lvl w:ilvl="4" w:tplc="4C2CABD6" w:tentative="1">
      <w:start w:val="1"/>
      <w:numFmt w:val="bullet"/>
      <w:lvlText w:val=""/>
      <w:lvlJc w:val="left"/>
      <w:pPr>
        <w:tabs>
          <w:tab w:val="num" w:pos="3600"/>
        </w:tabs>
        <w:ind w:left="3600" w:hanging="360"/>
      </w:pPr>
      <w:rPr>
        <w:rFonts w:ascii="Wingdings" w:hAnsi="Wingdings" w:hint="default"/>
      </w:rPr>
    </w:lvl>
    <w:lvl w:ilvl="5" w:tplc="C22C917C" w:tentative="1">
      <w:start w:val="1"/>
      <w:numFmt w:val="bullet"/>
      <w:lvlText w:val=""/>
      <w:lvlJc w:val="left"/>
      <w:pPr>
        <w:tabs>
          <w:tab w:val="num" w:pos="4320"/>
        </w:tabs>
        <w:ind w:left="4320" w:hanging="360"/>
      </w:pPr>
      <w:rPr>
        <w:rFonts w:ascii="Wingdings" w:hAnsi="Wingdings" w:hint="default"/>
      </w:rPr>
    </w:lvl>
    <w:lvl w:ilvl="6" w:tplc="A45E2E46" w:tentative="1">
      <w:start w:val="1"/>
      <w:numFmt w:val="bullet"/>
      <w:lvlText w:val=""/>
      <w:lvlJc w:val="left"/>
      <w:pPr>
        <w:tabs>
          <w:tab w:val="num" w:pos="5040"/>
        </w:tabs>
        <w:ind w:left="5040" w:hanging="360"/>
      </w:pPr>
      <w:rPr>
        <w:rFonts w:ascii="Wingdings" w:hAnsi="Wingdings" w:hint="default"/>
      </w:rPr>
    </w:lvl>
    <w:lvl w:ilvl="7" w:tplc="B442E128" w:tentative="1">
      <w:start w:val="1"/>
      <w:numFmt w:val="bullet"/>
      <w:lvlText w:val=""/>
      <w:lvlJc w:val="left"/>
      <w:pPr>
        <w:tabs>
          <w:tab w:val="num" w:pos="5760"/>
        </w:tabs>
        <w:ind w:left="5760" w:hanging="360"/>
      </w:pPr>
      <w:rPr>
        <w:rFonts w:ascii="Wingdings" w:hAnsi="Wingdings" w:hint="default"/>
      </w:rPr>
    </w:lvl>
    <w:lvl w:ilvl="8" w:tplc="50AA0E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F63D5"/>
    <w:multiLevelType w:val="hybridMultilevel"/>
    <w:tmpl w:val="5C78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81F22"/>
    <w:multiLevelType w:val="hybridMultilevel"/>
    <w:tmpl w:val="19D4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EA365F"/>
    <w:multiLevelType w:val="hybridMultilevel"/>
    <w:tmpl w:val="197021C0"/>
    <w:lvl w:ilvl="0" w:tplc="1396E6D2">
      <w:start w:val="1"/>
      <w:numFmt w:val="bullet"/>
      <w:lvlText w:val=""/>
      <w:lvlJc w:val="left"/>
      <w:pPr>
        <w:tabs>
          <w:tab w:val="num" w:pos="720"/>
        </w:tabs>
        <w:ind w:left="720" w:hanging="360"/>
      </w:pPr>
      <w:rPr>
        <w:rFonts w:ascii="Wingdings" w:hAnsi="Wingdings" w:hint="default"/>
      </w:rPr>
    </w:lvl>
    <w:lvl w:ilvl="1" w:tplc="87287834" w:tentative="1">
      <w:start w:val="1"/>
      <w:numFmt w:val="bullet"/>
      <w:lvlText w:val=""/>
      <w:lvlJc w:val="left"/>
      <w:pPr>
        <w:tabs>
          <w:tab w:val="num" w:pos="1440"/>
        </w:tabs>
        <w:ind w:left="1440" w:hanging="360"/>
      </w:pPr>
      <w:rPr>
        <w:rFonts w:ascii="Wingdings" w:hAnsi="Wingdings" w:hint="default"/>
      </w:rPr>
    </w:lvl>
    <w:lvl w:ilvl="2" w:tplc="D78A4DC4" w:tentative="1">
      <w:start w:val="1"/>
      <w:numFmt w:val="bullet"/>
      <w:lvlText w:val=""/>
      <w:lvlJc w:val="left"/>
      <w:pPr>
        <w:tabs>
          <w:tab w:val="num" w:pos="2160"/>
        </w:tabs>
        <w:ind w:left="2160" w:hanging="360"/>
      </w:pPr>
      <w:rPr>
        <w:rFonts w:ascii="Wingdings" w:hAnsi="Wingdings" w:hint="default"/>
      </w:rPr>
    </w:lvl>
    <w:lvl w:ilvl="3" w:tplc="D38E65EC" w:tentative="1">
      <w:start w:val="1"/>
      <w:numFmt w:val="bullet"/>
      <w:lvlText w:val=""/>
      <w:lvlJc w:val="left"/>
      <w:pPr>
        <w:tabs>
          <w:tab w:val="num" w:pos="2880"/>
        </w:tabs>
        <w:ind w:left="2880" w:hanging="360"/>
      </w:pPr>
      <w:rPr>
        <w:rFonts w:ascii="Wingdings" w:hAnsi="Wingdings" w:hint="default"/>
      </w:rPr>
    </w:lvl>
    <w:lvl w:ilvl="4" w:tplc="8BA228C8" w:tentative="1">
      <w:start w:val="1"/>
      <w:numFmt w:val="bullet"/>
      <w:lvlText w:val=""/>
      <w:lvlJc w:val="left"/>
      <w:pPr>
        <w:tabs>
          <w:tab w:val="num" w:pos="3600"/>
        </w:tabs>
        <w:ind w:left="3600" w:hanging="360"/>
      </w:pPr>
      <w:rPr>
        <w:rFonts w:ascii="Wingdings" w:hAnsi="Wingdings" w:hint="default"/>
      </w:rPr>
    </w:lvl>
    <w:lvl w:ilvl="5" w:tplc="D4462F6A" w:tentative="1">
      <w:start w:val="1"/>
      <w:numFmt w:val="bullet"/>
      <w:lvlText w:val=""/>
      <w:lvlJc w:val="left"/>
      <w:pPr>
        <w:tabs>
          <w:tab w:val="num" w:pos="4320"/>
        </w:tabs>
        <w:ind w:left="4320" w:hanging="360"/>
      </w:pPr>
      <w:rPr>
        <w:rFonts w:ascii="Wingdings" w:hAnsi="Wingdings" w:hint="default"/>
      </w:rPr>
    </w:lvl>
    <w:lvl w:ilvl="6" w:tplc="5A12FDF2" w:tentative="1">
      <w:start w:val="1"/>
      <w:numFmt w:val="bullet"/>
      <w:lvlText w:val=""/>
      <w:lvlJc w:val="left"/>
      <w:pPr>
        <w:tabs>
          <w:tab w:val="num" w:pos="5040"/>
        </w:tabs>
        <w:ind w:left="5040" w:hanging="360"/>
      </w:pPr>
      <w:rPr>
        <w:rFonts w:ascii="Wingdings" w:hAnsi="Wingdings" w:hint="default"/>
      </w:rPr>
    </w:lvl>
    <w:lvl w:ilvl="7" w:tplc="BA10998E" w:tentative="1">
      <w:start w:val="1"/>
      <w:numFmt w:val="bullet"/>
      <w:lvlText w:val=""/>
      <w:lvlJc w:val="left"/>
      <w:pPr>
        <w:tabs>
          <w:tab w:val="num" w:pos="5760"/>
        </w:tabs>
        <w:ind w:left="5760" w:hanging="360"/>
      </w:pPr>
      <w:rPr>
        <w:rFonts w:ascii="Wingdings" w:hAnsi="Wingdings" w:hint="default"/>
      </w:rPr>
    </w:lvl>
    <w:lvl w:ilvl="8" w:tplc="6B0C49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8"/>
  </w:num>
  <w:num w:numId="5">
    <w:abstractNumId w:val="9"/>
  </w:num>
  <w:num w:numId="6">
    <w:abstractNumId w:val="15"/>
  </w:num>
  <w:num w:numId="7">
    <w:abstractNumId w:val="6"/>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4"/>
  </w:num>
  <w:num w:numId="10">
    <w:abstractNumId w:val="1"/>
  </w:num>
  <w:num w:numId="11">
    <w:abstractNumId w:val="13"/>
  </w:num>
  <w:num w:numId="12">
    <w:abstractNumId w:val="11"/>
  </w:num>
  <w:num w:numId="13">
    <w:abstractNumId w:val="5"/>
  </w:num>
  <w:num w:numId="14">
    <w:abstractNumId w:val="2"/>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18"/>
    <w:rsid w:val="00027E0C"/>
    <w:rsid w:val="00051376"/>
    <w:rsid w:val="000C40EE"/>
    <w:rsid w:val="000D0409"/>
    <w:rsid w:val="000D20B4"/>
    <w:rsid w:val="000F04E4"/>
    <w:rsid w:val="000F7896"/>
    <w:rsid w:val="00167B7D"/>
    <w:rsid w:val="001D603D"/>
    <w:rsid w:val="001E7389"/>
    <w:rsid w:val="00260504"/>
    <w:rsid w:val="00271010"/>
    <w:rsid w:val="002805FB"/>
    <w:rsid w:val="002D52FC"/>
    <w:rsid w:val="002D6B45"/>
    <w:rsid w:val="002E3ECE"/>
    <w:rsid w:val="002E7ADD"/>
    <w:rsid w:val="002F3B54"/>
    <w:rsid w:val="00314D32"/>
    <w:rsid w:val="00334BD0"/>
    <w:rsid w:val="0034224C"/>
    <w:rsid w:val="00342639"/>
    <w:rsid w:val="003453F7"/>
    <w:rsid w:val="00354496"/>
    <w:rsid w:val="003630ED"/>
    <w:rsid w:val="003804C3"/>
    <w:rsid w:val="003A435F"/>
    <w:rsid w:val="003E2876"/>
    <w:rsid w:val="003F6587"/>
    <w:rsid w:val="00437AF3"/>
    <w:rsid w:val="00450007"/>
    <w:rsid w:val="0045630D"/>
    <w:rsid w:val="00457DD3"/>
    <w:rsid w:val="00473D36"/>
    <w:rsid w:val="00482B64"/>
    <w:rsid w:val="00487263"/>
    <w:rsid w:val="004B3289"/>
    <w:rsid w:val="004B7351"/>
    <w:rsid w:val="00514FE0"/>
    <w:rsid w:val="00556D69"/>
    <w:rsid w:val="0056626A"/>
    <w:rsid w:val="005703B7"/>
    <w:rsid w:val="005A4E47"/>
    <w:rsid w:val="005A7838"/>
    <w:rsid w:val="005D2065"/>
    <w:rsid w:val="005D4432"/>
    <w:rsid w:val="0062475C"/>
    <w:rsid w:val="00637AFB"/>
    <w:rsid w:val="006527C6"/>
    <w:rsid w:val="00671ADF"/>
    <w:rsid w:val="00680264"/>
    <w:rsid w:val="006B0B52"/>
    <w:rsid w:val="006F06F9"/>
    <w:rsid w:val="0075334E"/>
    <w:rsid w:val="007678A6"/>
    <w:rsid w:val="007B1154"/>
    <w:rsid w:val="007E3B3E"/>
    <w:rsid w:val="007F4E03"/>
    <w:rsid w:val="00804F21"/>
    <w:rsid w:val="0084446A"/>
    <w:rsid w:val="00844FBF"/>
    <w:rsid w:val="008817F1"/>
    <w:rsid w:val="00881F77"/>
    <w:rsid w:val="008A4C93"/>
    <w:rsid w:val="008C3900"/>
    <w:rsid w:val="008E3FE7"/>
    <w:rsid w:val="009054B7"/>
    <w:rsid w:val="00906F18"/>
    <w:rsid w:val="009176B4"/>
    <w:rsid w:val="0095051C"/>
    <w:rsid w:val="00951791"/>
    <w:rsid w:val="00990D0C"/>
    <w:rsid w:val="009A3975"/>
    <w:rsid w:val="009B4375"/>
    <w:rsid w:val="009D1DB1"/>
    <w:rsid w:val="009D4199"/>
    <w:rsid w:val="009E1A27"/>
    <w:rsid w:val="009E3827"/>
    <w:rsid w:val="009F336B"/>
    <w:rsid w:val="00A03CF0"/>
    <w:rsid w:val="00A342ED"/>
    <w:rsid w:val="00A4110D"/>
    <w:rsid w:val="00A439ED"/>
    <w:rsid w:val="00A55067"/>
    <w:rsid w:val="00A734A5"/>
    <w:rsid w:val="00A76996"/>
    <w:rsid w:val="00A94D8B"/>
    <w:rsid w:val="00AA5742"/>
    <w:rsid w:val="00AC1380"/>
    <w:rsid w:val="00AC45A8"/>
    <w:rsid w:val="00AD7035"/>
    <w:rsid w:val="00AF1106"/>
    <w:rsid w:val="00B3608C"/>
    <w:rsid w:val="00BA7368"/>
    <w:rsid w:val="00C07E37"/>
    <w:rsid w:val="00C115FC"/>
    <w:rsid w:val="00C45A81"/>
    <w:rsid w:val="00C541A2"/>
    <w:rsid w:val="00C70C5C"/>
    <w:rsid w:val="00CA7AE4"/>
    <w:rsid w:val="00CB02C4"/>
    <w:rsid w:val="00CB3026"/>
    <w:rsid w:val="00CB708C"/>
    <w:rsid w:val="00CC1F79"/>
    <w:rsid w:val="00CD37F4"/>
    <w:rsid w:val="00CE67EA"/>
    <w:rsid w:val="00D01990"/>
    <w:rsid w:val="00D2435F"/>
    <w:rsid w:val="00D57822"/>
    <w:rsid w:val="00D669F8"/>
    <w:rsid w:val="00D71469"/>
    <w:rsid w:val="00D82C18"/>
    <w:rsid w:val="00E13BE7"/>
    <w:rsid w:val="00E243AE"/>
    <w:rsid w:val="00E31F52"/>
    <w:rsid w:val="00E7344B"/>
    <w:rsid w:val="00E95703"/>
    <w:rsid w:val="00EB21C2"/>
    <w:rsid w:val="00EB6AAB"/>
    <w:rsid w:val="00F1574D"/>
    <w:rsid w:val="00F504D6"/>
    <w:rsid w:val="00F62A15"/>
    <w:rsid w:val="00F955B5"/>
    <w:rsid w:val="00FA5D5D"/>
    <w:rsid w:val="00FB24E8"/>
    <w:rsid w:val="00FB6DE5"/>
    <w:rsid w:val="00FE45CA"/>
    <w:rsid w:val="00FF0BE6"/>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customStyle="1" w:styleId="UnresolvedMention1">
    <w:name w:val="Unresolved Mention1"/>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870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640321">
          <w:marLeft w:val="547"/>
          <w:marRight w:val="0"/>
          <w:marTop w:val="0"/>
          <w:marBottom w:val="0"/>
          <w:divBdr>
            <w:top w:val="none" w:sz="0" w:space="0" w:color="auto"/>
            <w:left w:val="none" w:sz="0" w:space="0" w:color="auto"/>
            <w:bottom w:val="none" w:sz="0" w:space="0" w:color="auto"/>
            <w:right w:val="none" w:sz="0" w:space="0" w:color="auto"/>
          </w:divBdr>
        </w:div>
        <w:div w:id="2043433070">
          <w:marLeft w:val="547"/>
          <w:marRight w:val="0"/>
          <w:marTop w:val="0"/>
          <w:marBottom w:val="0"/>
          <w:divBdr>
            <w:top w:val="none" w:sz="0" w:space="0" w:color="auto"/>
            <w:left w:val="none" w:sz="0" w:space="0" w:color="auto"/>
            <w:bottom w:val="none" w:sz="0" w:space="0" w:color="auto"/>
            <w:right w:val="none" w:sz="0" w:space="0" w:color="auto"/>
          </w:divBdr>
        </w:div>
      </w:divsChild>
    </w:div>
    <w:div w:id="1098911757">
      <w:bodyDiv w:val="1"/>
      <w:marLeft w:val="0"/>
      <w:marRight w:val="0"/>
      <w:marTop w:val="0"/>
      <w:marBottom w:val="0"/>
      <w:divBdr>
        <w:top w:val="none" w:sz="0" w:space="0" w:color="auto"/>
        <w:left w:val="none" w:sz="0" w:space="0" w:color="auto"/>
        <w:bottom w:val="none" w:sz="0" w:space="0" w:color="auto"/>
        <w:right w:val="none" w:sz="0" w:space="0" w:color="auto"/>
      </w:divBdr>
      <w:divsChild>
        <w:div w:id="973366596">
          <w:marLeft w:val="547"/>
          <w:marRight w:val="0"/>
          <w:marTop w:val="0"/>
          <w:marBottom w:val="0"/>
          <w:divBdr>
            <w:top w:val="none" w:sz="0" w:space="0" w:color="auto"/>
            <w:left w:val="none" w:sz="0" w:space="0" w:color="auto"/>
            <w:bottom w:val="none" w:sz="0" w:space="0" w:color="auto"/>
            <w:right w:val="none" w:sz="0" w:space="0" w:color="auto"/>
          </w:divBdr>
        </w:div>
        <w:div w:id="1778914394">
          <w:marLeft w:val="547"/>
          <w:marRight w:val="0"/>
          <w:marTop w:val="0"/>
          <w:marBottom w:val="0"/>
          <w:divBdr>
            <w:top w:val="none" w:sz="0" w:space="0" w:color="auto"/>
            <w:left w:val="none" w:sz="0" w:space="0" w:color="auto"/>
            <w:bottom w:val="none" w:sz="0" w:space="0" w:color="auto"/>
            <w:right w:val="none" w:sz="0" w:space="0" w:color="auto"/>
          </w:divBdr>
        </w:div>
        <w:div w:id="1820996059">
          <w:marLeft w:val="547"/>
          <w:marRight w:val="0"/>
          <w:marTop w:val="0"/>
          <w:marBottom w:val="0"/>
          <w:divBdr>
            <w:top w:val="none" w:sz="0" w:space="0" w:color="auto"/>
            <w:left w:val="none" w:sz="0" w:space="0" w:color="auto"/>
            <w:bottom w:val="none" w:sz="0" w:space="0" w:color="auto"/>
            <w:right w:val="none" w:sz="0" w:space="0" w:color="auto"/>
          </w:divBdr>
        </w:div>
      </w:divsChild>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0cce5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CEAUSU Diana</cp:lastModifiedBy>
  <cp:revision>3</cp:revision>
  <dcterms:created xsi:type="dcterms:W3CDTF">2021-04-14T11:40:00Z</dcterms:created>
  <dcterms:modified xsi:type="dcterms:W3CDTF">2021-05-04T12:25:00Z</dcterms:modified>
</cp:coreProperties>
</file>