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877A6" w14:textId="47B59D68" w:rsidR="00EF30BF" w:rsidRPr="009304F0" w:rsidRDefault="001F6801" w:rsidP="009304F0">
      <w:pPr>
        <w:spacing w:before="120" w:after="120" w:line="260" w:lineRule="atLeast"/>
        <w:jc w:val="center"/>
        <w:rPr>
          <w:rFonts w:ascii="Verdana" w:hAnsi="Verdana"/>
          <w:sz w:val="20"/>
          <w:szCs w:val="20"/>
        </w:rPr>
      </w:pPr>
      <w:r w:rsidRPr="009304F0">
        <w:rPr>
          <w:rFonts w:ascii="Verdana" w:hAnsi="Verdana"/>
          <w:b/>
          <w:bCs/>
          <w:i/>
          <w:iCs/>
          <w:sz w:val="20"/>
          <w:szCs w:val="20"/>
          <w:lang w:val="mk-MK"/>
        </w:rPr>
        <w:t>Специјализиран судски курс за меѓународна соработка</w:t>
      </w:r>
    </w:p>
    <w:p w14:paraId="1152C3B2" w14:textId="01BD838D" w:rsidR="00EF30BF" w:rsidRPr="009304F0" w:rsidRDefault="00EF30BF" w:rsidP="009304F0">
      <w:pPr>
        <w:spacing w:before="120" w:after="120" w:line="260" w:lineRule="atLeast"/>
        <w:jc w:val="center"/>
        <w:rPr>
          <w:rFonts w:ascii="Verdana" w:hAnsi="Verdana"/>
          <w:sz w:val="20"/>
          <w:szCs w:val="20"/>
        </w:rPr>
      </w:pPr>
    </w:p>
    <w:p w14:paraId="2F2A3379" w14:textId="1D647553" w:rsidR="00EF30BF" w:rsidRPr="009304F0" w:rsidRDefault="001F6801" w:rsidP="009304F0">
      <w:pPr>
        <w:spacing w:before="120" w:after="120" w:line="260" w:lineRule="atLeast"/>
        <w:jc w:val="center"/>
        <w:rPr>
          <w:rFonts w:ascii="Verdana" w:hAnsi="Verdana"/>
          <w:sz w:val="20"/>
          <w:szCs w:val="20"/>
        </w:rPr>
      </w:pPr>
      <w:r w:rsidRPr="009304F0">
        <w:rPr>
          <w:rFonts w:ascii="Verdana" w:hAnsi="Verdana"/>
          <w:b/>
          <w:bCs/>
          <w:sz w:val="20"/>
          <w:szCs w:val="20"/>
          <w:lang w:val="mk-MK"/>
        </w:rPr>
        <w:t>Сесија 2.3</w:t>
      </w:r>
    </w:p>
    <w:p w14:paraId="01056675" w14:textId="31F5C320" w:rsidR="00EF30BF" w:rsidRPr="009304F0" w:rsidRDefault="001F6801" w:rsidP="009304F0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en-PH"/>
        </w:rPr>
      </w:pPr>
      <w:r w:rsidRPr="009304F0">
        <w:rPr>
          <w:rFonts w:ascii="Verdana" w:hAnsi="Verdana"/>
          <w:b/>
          <w:bCs/>
          <w:sz w:val="20"/>
          <w:szCs w:val="20"/>
          <w:lang w:val="mk-MK"/>
        </w:rPr>
        <w:t>Користење на стекнување електронски докази преку механизми за меѓународна соработка</w:t>
      </w:r>
    </w:p>
    <w:p w14:paraId="7CACA5A3" w14:textId="065B4984" w:rsidR="00EF30BF" w:rsidRPr="009304F0" w:rsidRDefault="00EF30BF" w:rsidP="009304F0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en-PH"/>
        </w:rPr>
      </w:pPr>
    </w:p>
    <w:p w14:paraId="7720049F" w14:textId="3C4B7186" w:rsidR="00EF30BF" w:rsidRPr="009304F0" w:rsidRDefault="001F6801" w:rsidP="009304F0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en-GB"/>
        </w:rPr>
      </w:pPr>
      <w:r w:rsidRPr="009304F0">
        <w:rPr>
          <w:rFonts w:ascii="Verdana" w:hAnsi="Verdana"/>
          <w:b/>
          <w:bCs/>
          <w:sz w:val="20"/>
          <w:szCs w:val="20"/>
          <w:lang w:val="mk-MK"/>
        </w:rPr>
        <w:t>Резиме на студија на случај Волфјегер</w:t>
      </w:r>
    </w:p>
    <w:p w14:paraId="7CC9CC93" w14:textId="64BA240D" w:rsidR="00EF30BF" w:rsidRPr="009304F0" w:rsidRDefault="00EF30BF" w:rsidP="009304F0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en-GB"/>
        </w:rPr>
      </w:pPr>
    </w:p>
    <w:p w14:paraId="54060247" w14:textId="05924BCB" w:rsidR="00EF30BF" w:rsidRPr="009304F0" w:rsidRDefault="00EF30BF" w:rsidP="009304F0">
      <w:pPr>
        <w:spacing w:before="120" w:after="120" w:line="260" w:lineRule="atLeast"/>
        <w:jc w:val="center"/>
        <w:rPr>
          <w:rFonts w:ascii="Verdana" w:hAnsi="Verdana"/>
          <w:b/>
          <w:bCs/>
          <w:sz w:val="20"/>
          <w:szCs w:val="20"/>
          <w:lang w:val="en-GB"/>
        </w:rPr>
      </w:pPr>
    </w:p>
    <w:p w14:paraId="017C9083" w14:textId="38D96410" w:rsidR="00EF30BF" w:rsidRPr="009304F0" w:rsidRDefault="001F6801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  <w:lang w:val="en-GB"/>
        </w:rPr>
      </w:pPr>
      <w:r w:rsidRPr="009304F0">
        <w:rPr>
          <w:rFonts w:ascii="Verdana" w:hAnsi="Verdana"/>
          <w:sz w:val="20"/>
          <w:szCs w:val="20"/>
          <w:lang w:val="mk-MK"/>
        </w:rPr>
        <w:t xml:space="preserve">Јавното обвинителство во </w:t>
      </w:r>
      <w:r w:rsidR="00F96E2F" w:rsidRPr="009304F0">
        <w:rPr>
          <w:rFonts w:ascii="Verdana" w:hAnsi="Verdana"/>
          <w:sz w:val="20"/>
          <w:szCs w:val="20"/>
          <w:lang w:val="mk-MK"/>
        </w:rPr>
        <w:t>Франкфурт</w:t>
      </w:r>
      <w:r w:rsidRPr="009304F0">
        <w:rPr>
          <w:rFonts w:ascii="Verdana" w:hAnsi="Verdana"/>
          <w:sz w:val="20"/>
          <w:szCs w:val="20"/>
          <w:lang w:val="mk-MK"/>
        </w:rPr>
        <w:t>, Германија, почна</w:t>
      </w:r>
      <w:r w:rsidR="00B81C6C" w:rsidRPr="009304F0">
        <w:rPr>
          <w:rFonts w:ascii="Verdana" w:hAnsi="Verdana"/>
          <w:sz w:val="20"/>
          <w:szCs w:val="20"/>
          <w:lang w:val="mk-MK"/>
        </w:rPr>
        <w:t>ло</w:t>
      </w:r>
      <w:r w:rsidRPr="009304F0">
        <w:rPr>
          <w:rFonts w:ascii="Verdana" w:hAnsi="Verdana"/>
          <w:sz w:val="20"/>
          <w:szCs w:val="20"/>
          <w:lang w:val="mk-MK"/>
        </w:rPr>
        <w:t xml:space="preserve"> да прима број</w:t>
      </w:r>
      <w:r w:rsidR="00B81C6C" w:rsidRPr="009304F0">
        <w:rPr>
          <w:rFonts w:ascii="Verdana" w:hAnsi="Verdana"/>
          <w:sz w:val="20"/>
          <w:szCs w:val="20"/>
          <w:lang w:val="mk-MK"/>
        </w:rPr>
        <w:t>ни</w:t>
      </w:r>
      <w:r w:rsidRPr="009304F0">
        <w:rPr>
          <w:rFonts w:ascii="Verdana" w:hAnsi="Verdana"/>
          <w:sz w:val="20"/>
          <w:szCs w:val="20"/>
          <w:lang w:val="mk-MK"/>
        </w:rPr>
        <w:t xml:space="preserve"> поплаки од германски граѓани за можни измами од страна на онлајн инвестициски компании кои рекламираат профитабилн</w:t>
      </w:r>
      <w:r w:rsidR="00C20B96" w:rsidRPr="009304F0">
        <w:rPr>
          <w:rFonts w:ascii="Verdana" w:hAnsi="Verdana"/>
          <w:sz w:val="20"/>
          <w:szCs w:val="20"/>
          <w:lang w:val="mk-MK"/>
        </w:rPr>
        <w:t>и</w:t>
      </w:r>
      <w:r w:rsidRPr="009304F0">
        <w:rPr>
          <w:rFonts w:ascii="Verdana" w:hAnsi="Verdana"/>
          <w:sz w:val="20"/>
          <w:szCs w:val="20"/>
          <w:lang w:val="mk-MK"/>
        </w:rPr>
        <w:t xml:space="preserve"> инвестиции на финансиските пазари, вклучувајќи ги DAX, TecDAX, Midcap и други.</w:t>
      </w:r>
    </w:p>
    <w:p w14:paraId="363A26F7" w14:textId="77777777" w:rsidR="00EF30BF" w:rsidRPr="009304F0" w:rsidRDefault="00EF30BF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</w:p>
    <w:p w14:paraId="22C09063" w14:textId="4572E452" w:rsidR="00EF30BF" w:rsidRPr="009304F0" w:rsidRDefault="001F6801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  <w:r w:rsidRPr="009304F0">
        <w:rPr>
          <w:rFonts w:ascii="Verdana" w:hAnsi="Verdana"/>
          <w:sz w:val="20"/>
          <w:szCs w:val="20"/>
          <w:lang w:val="mk-MK"/>
        </w:rPr>
        <w:t xml:space="preserve">Можната измама почнува со онлајн огласи за лица заинтересирани за </w:t>
      </w:r>
      <w:r w:rsidR="00C20B96" w:rsidRPr="009304F0">
        <w:rPr>
          <w:rFonts w:ascii="Verdana" w:hAnsi="Verdana"/>
          <w:sz w:val="20"/>
          <w:szCs w:val="20"/>
          <w:lang w:val="mk-MK"/>
        </w:rPr>
        <w:t>инвестирање</w:t>
      </w:r>
      <w:r w:rsidRPr="009304F0">
        <w:rPr>
          <w:rFonts w:ascii="Verdana" w:hAnsi="Verdana"/>
          <w:sz w:val="20"/>
          <w:szCs w:val="20"/>
          <w:lang w:val="mk-MK"/>
        </w:rPr>
        <w:t xml:space="preserve"> во финансиски инструменти поврзани со горенаведените финансиски пазари кои можат да обезбедат многу високи приходи.</w:t>
      </w:r>
      <w:r w:rsidR="00EF30BF" w:rsidRPr="009304F0">
        <w:rPr>
          <w:rFonts w:ascii="Verdana" w:hAnsi="Verdana"/>
          <w:sz w:val="20"/>
          <w:szCs w:val="20"/>
          <w:lang w:val="en-GB"/>
        </w:rPr>
        <w:t xml:space="preserve"> </w:t>
      </w:r>
      <w:r w:rsidRPr="009304F0">
        <w:rPr>
          <w:rFonts w:ascii="Verdana" w:hAnsi="Verdana"/>
          <w:sz w:val="20"/>
          <w:szCs w:val="20"/>
          <w:lang w:val="mk-MK"/>
        </w:rPr>
        <w:t>Со кликнување на онлајн огласите, на екранот се отвара образец за членство и се повикува можната жртва да остави лични информации, вклучувајќи име, презиме, телефон за контакт, е-пошта, домашна адреса и можниот опсег на инвестицијата.</w:t>
      </w:r>
    </w:p>
    <w:p w14:paraId="587250BC" w14:textId="515B8127" w:rsidR="00EF30BF" w:rsidRPr="009304F0" w:rsidRDefault="00EF30BF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</w:p>
    <w:p w14:paraId="00B283DD" w14:textId="001B3FE1" w:rsidR="00EF30BF" w:rsidRPr="009304F0" w:rsidRDefault="00813A4E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  <w:lang w:val="en-GB"/>
        </w:rPr>
      </w:pPr>
      <w:r w:rsidRPr="009304F0">
        <w:rPr>
          <w:rFonts w:ascii="Verdana" w:hAnsi="Verdana"/>
          <w:sz w:val="20"/>
          <w:szCs w:val="20"/>
          <w:lang w:val="mk-MK"/>
        </w:rPr>
        <w:t>Наскоро, можната жртва е контактирана преку телефон од лице кое се претставува себеси како лице</w:t>
      </w:r>
      <w:r w:rsidR="00B773A3" w:rsidRPr="009304F0">
        <w:rPr>
          <w:rFonts w:ascii="Verdana" w:hAnsi="Verdana"/>
          <w:sz w:val="20"/>
          <w:szCs w:val="20"/>
          <w:lang w:val="mk-MK"/>
        </w:rPr>
        <w:t>/брокер</w:t>
      </w:r>
      <w:r w:rsidRPr="009304F0">
        <w:rPr>
          <w:rFonts w:ascii="Verdana" w:hAnsi="Verdana"/>
          <w:sz w:val="20"/>
          <w:szCs w:val="20"/>
          <w:lang w:val="mk-MK"/>
        </w:rPr>
        <w:t xml:space="preserve"> за продажба </w:t>
      </w:r>
      <w:r w:rsidR="00C20B96" w:rsidRPr="009304F0">
        <w:rPr>
          <w:rFonts w:ascii="Verdana" w:hAnsi="Verdana"/>
          <w:sz w:val="20"/>
          <w:szCs w:val="20"/>
          <w:lang w:val="mk-MK"/>
        </w:rPr>
        <w:t>од</w:t>
      </w:r>
      <w:r w:rsidRPr="009304F0">
        <w:rPr>
          <w:rFonts w:ascii="Verdana" w:hAnsi="Verdana"/>
          <w:sz w:val="20"/>
          <w:szCs w:val="20"/>
          <w:lang w:val="mk-MK"/>
        </w:rPr>
        <w:t xml:space="preserve"> онлајн трговска компанија која тргува на еден од горенаведените финансиски пазари, нудејќи отворање на сметка</w:t>
      </w:r>
      <w:r w:rsidR="00B81C6C" w:rsidRPr="009304F0">
        <w:rPr>
          <w:rFonts w:ascii="Verdana" w:hAnsi="Verdana"/>
          <w:sz w:val="20"/>
          <w:szCs w:val="20"/>
          <w:lang w:val="mk-MK"/>
        </w:rPr>
        <w:t xml:space="preserve"> за тргување</w:t>
      </w:r>
      <w:r w:rsidRPr="009304F0">
        <w:rPr>
          <w:rFonts w:ascii="Verdana" w:hAnsi="Verdana"/>
          <w:sz w:val="20"/>
          <w:szCs w:val="20"/>
          <w:lang w:val="mk-MK"/>
        </w:rPr>
        <w:t xml:space="preserve"> </w:t>
      </w:r>
      <w:r w:rsidR="00C20B96" w:rsidRPr="009304F0">
        <w:rPr>
          <w:rFonts w:ascii="Verdana" w:hAnsi="Verdana"/>
          <w:sz w:val="20"/>
          <w:szCs w:val="20"/>
          <w:lang w:val="mk-MK"/>
        </w:rPr>
        <w:t>в</w:t>
      </w:r>
      <w:r w:rsidRPr="009304F0">
        <w:rPr>
          <w:rFonts w:ascii="Verdana" w:hAnsi="Verdana"/>
          <w:sz w:val="20"/>
          <w:szCs w:val="20"/>
          <w:lang w:val="mk-MK"/>
        </w:rPr>
        <w:t>о компанијата за почетна исплата од 250 до 300 евра.</w:t>
      </w:r>
    </w:p>
    <w:p w14:paraId="3F538B3F" w14:textId="77777777" w:rsidR="00EF30BF" w:rsidRPr="009304F0" w:rsidRDefault="00EF30BF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</w:p>
    <w:p w14:paraId="5B79556E" w14:textId="106E202B" w:rsidR="00EF30BF" w:rsidRPr="009304F0" w:rsidRDefault="00B773A3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  <w:r w:rsidRPr="009304F0">
        <w:rPr>
          <w:rFonts w:ascii="Verdana" w:hAnsi="Verdana"/>
          <w:sz w:val="20"/>
          <w:szCs w:val="20"/>
          <w:lang w:val="mk-MK"/>
        </w:rPr>
        <w:t>Лицето/</w:t>
      </w:r>
      <w:r w:rsidR="00B81C6C" w:rsidRPr="009304F0">
        <w:rPr>
          <w:rFonts w:ascii="Verdana" w:hAnsi="Verdana"/>
          <w:sz w:val="20"/>
          <w:szCs w:val="20"/>
          <w:lang w:val="mk-MK"/>
        </w:rPr>
        <w:t>б</w:t>
      </w:r>
      <w:r w:rsidRPr="009304F0">
        <w:rPr>
          <w:rFonts w:ascii="Verdana" w:hAnsi="Verdana"/>
          <w:sz w:val="20"/>
          <w:szCs w:val="20"/>
          <w:lang w:val="mk-MK"/>
        </w:rPr>
        <w:t>рокерот за продажба е добро запознаен</w:t>
      </w:r>
      <w:r w:rsidR="00C20B96" w:rsidRPr="009304F0">
        <w:rPr>
          <w:rFonts w:ascii="Verdana" w:hAnsi="Verdana"/>
          <w:sz w:val="20"/>
          <w:szCs w:val="20"/>
          <w:lang w:val="mk-MK"/>
        </w:rPr>
        <w:t>о</w:t>
      </w:r>
      <w:r w:rsidRPr="009304F0">
        <w:rPr>
          <w:rFonts w:ascii="Verdana" w:hAnsi="Verdana"/>
          <w:sz w:val="20"/>
          <w:szCs w:val="20"/>
          <w:lang w:val="mk-MK"/>
        </w:rPr>
        <w:t xml:space="preserve"> со сите податоци </w:t>
      </w:r>
      <w:r w:rsidR="00C20B96" w:rsidRPr="009304F0">
        <w:rPr>
          <w:rFonts w:ascii="Verdana" w:hAnsi="Verdana"/>
          <w:sz w:val="20"/>
          <w:szCs w:val="20"/>
          <w:lang w:val="mk-MK"/>
        </w:rPr>
        <w:t xml:space="preserve">што можната жртва ги оставила во </w:t>
      </w:r>
      <w:r w:rsidRPr="009304F0">
        <w:rPr>
          <w:rFonts w:ascii="Verdana" w:hAnsi="Verdana"/>
          <w:sz w:val="20"/>
          <w:szCs w:val="20"/>
          <w:lang w:val="mk-MK"/>
        </w:rPr>
        <w:t xml:space="preserve">онлајн образецот, но изгледа дека </w:t>
      </w:r>
      <w:r w:rsidR="00C20B96" w:rsidRPr="009304F0">
        <w:rPr>
          <w:rFonts w:ascii="Verdana" w:hAnsi="Verdana"/>
          <w:sz w:val="20"/>
          <w:szCs w:val="20"/>
          <w:lang w:val="mk-MK"/>
        </w:rPr>
        <w:t>лицето за продажба има</w:t>
      </w:r>
      <w:r w:rsidRPr="009304F0">
        <w:rPr>
          <w:rFonts w:ascii="Verdana" w:hAnsi="Verdana"/>
          <w:sz w:val="20"/>
          <w:szCs w:val="20"/>
          <w:lang w:val="mk-MK"/>
        </w:rPr>
        <w:t xml:space="preserve"> дополнителен интерес за приватниот живот на можната жртва, што се објаснува како „прилагодување на искуството и давање на вистински предлози за </w:t>
      </w:r>
      <w:r w:rsidR="00C20B96" w:rsidRPr="009304F0">
        <w:rPr>
          <w:rFonts w:ascii="Verdana" w:hAnsi="Verdana"/>
          <w:sz w:val="20"/>
          <w:szCs w:val="20"/>
          <w:lang w:val="mk-MK"/>
        </w:rPr>
        <w:t>клиентот</w:t>
      </w:r>
      <w:r w:rsidRPr="009304F0">
        <w:rPr>
          <w:rFonts w:ascii="Verdana" w:hAnsi="Verdana"/>
          <w:sz w:val="20"/>
          <w:szCs w:val="20"/>
          <w:lang w:val="mk-MK"/>
        </w:rPr>
        <w:t>“.</w:t>
      </w:r>
      <w:r w:rsidR="00EF30BF" w:rsidRPr="009304F0">
        <w:rPr>
          <w:rFonts w:ascii="Verdana" w:hAnsi="Verdana"/>
          <w:sz w:val="20"/>
          <w:szCs w:val="20"/>
          <w:lang w:val="en-GB"/>
        </w:rPr>
        <w:t xml:space="preserve"> </w:t>
      </w:r>
    </w:p>
    <w:p w14:paraId="3E76A4E3" w14:textId="24EC974F" w:rsidR="00EF30BF" w:rsidRPr="009304F0" w:rsidRDefault="00EF30BF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</w:p>
    <w:p w14:paraId="083A115D" w14:textId="57A01B9A" w:rsidR="00EF30BF" w:rsidRPr="009304F0" w:rsidRDefault="00B773A3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  <w:lang w:val="en-GB"/>
        </w:rPr>
      </w:pPr>
      <w:r w:rsidRPr="009304F0">
        <w:rPr>
          <w:rFonts w:ascii="Verdana" w:hAnsi="Verdana"/>
          <w:sz w:val="20"/>
          <w:szCs w:val="20"/>
          <w:lang w:val="mk-MK"/>
        </w:rPr>
        <w:t>Јавното обвинителство во Фра</w:t>
      </w:r>
      <w:r w:rsidR="00B81C6C" w:rsidRPr="009304F0">
        <w:rPr>
          <w:rFonts w:ascii="Verdana" w:hAnsi="Verdana"/>
          <w:sz w:val="20"/>
          <w:szCs w:val="20"/>
          <w:lang w:val="mk-MK"/>
        </w:rPr>
        <w:t>н</w:t>
      </w:r>
      <w:r w:rsidRPr="009304F0">
        <w:rPr>
          <w:rFonts w:ascii="Verdana" w:hAnsi="Verdana"/>
          <w:sz w:val="20"/>
          <w:szCs w:val="20"/>
          <w:lang w:val="mk-MK"/>
        </w:rPr>
        <w:t>кфурт, Германија, почна</w:t>
      </w:r>
      <w:r w:rsidR="00B81C6C" w:rsidRPr="009304F0">
        <w:rPr>
          <w:rFonts w:ascii="Verdana" w:hAnsi="Verdana"/>
          <w:sz w:val="20"/>
          <w:szCs w:val="20"/>
          <w:lang w:val="mk-MK"/>
        </w:rPr>
        <w:t>ло</w:t>
      </w:r>
      <w:r w:rsidRPr="009304F0">
        <w:rPr>
          <w:rFonts w:ascii="Verdana" w:hAnsi="Verdana"/>
          <w:sz w:val="20"/>
          <w:szCs w:val="20"/>
          <w:lang w:val="mk-MK"/>
        </w:rPr>
        <w:t xml:space="preserve"> да прима број</w:t>
      </w:r>
      <w:r w:rsidR="00B81C6C" w:rsidRPr="009304F0">
        <w:rPr>
          <w:rFonts w:ascii="Verdana" w:hAnsi="Verdana"/>
          <w:sz w:val="20"/>
          <w:szCs w:val="20"/>
          <w:lang w:val="mk-MK"/>
        </w:rPr>
        <w:t>ни</w:t>
      </w:r>
      <w:r w:rsidRPr="009304F0">
        <w:rPr>
          <w:rFonts w:ascii="Verdana" w:hAnsi="Verdana"/>
          <w:sz w:val="20"/>
          <w:szCs w:val="20"/>
          <w:lang w:val="mk-MK"/>
        </w:rPr>
        <w:t xml:space="preserve"> поплаки од германски граѓани за можни измами од страна на онлајн инвестициски компании кои рекламираат профитабилн</w:t>
      </w:r>
      <w:r w:rsidR="00C20B96" w:rsidRPr="009304F0">
        <w:rPr>
          <w:rFonts w:ascii="Verdana" w:hAnsi="Verdana"/>
          <w:sz w:val="20"/>
          <w:szCs w:val="20"/>
          <w:lang w:val="mk-MK"/>
        </w:rPr>
        <w:t>и</w:t>
      </w:r>
      <w:r w:rsidRPr="009304F0">
        <w:rPr>
          <w:rFonts w:ascii="Verdana" w:hAnsi="Verdana"/>
          <w:sz w:val="20"/>
          <w:szCs w:val="20"/>
          <w:lang w:val="mk-MK"/>
        </w:rPr>
        <w:t xml:space="preserve"> инвестиции на финансиските пазари, вклучувајќи ги DAX, TecDAX, Midcap и други.</w:t>
      </w:r>
    </w:p>
    <w:p w14:paraId="5A414F97" w14:textId="77777777" w:rsidR="00EF30BF" w:rsidRPr="009304F0" w:rsidRDefault="00EF30BF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</w:p>
    <w:p w14:paraId="36B8DFB2" w14:textId="53EC64C8" w:rsidR="00EF30BF" w:rsidRPr="009304F0" w:rsidRDefault="00B773A3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  <w:r w:rsidRPr="009304F0">
        <w:rPr>
          <w:rFonts w:ascii="Verdana" w:hAnsi="Verdana"/>
          <w:sz w:val="20"/>
          <w:szCs w:val="20"/>
          <w:lang w:val="mk-MK"/>
        </w:rPr>
        <w:t>Можната измама почнува со онлајн огласи за</w:t>
      </w:r>
      <w:r w:rsidR="00C20B96" w:rsidRPr="009304F0">
        <w:rPr>
          <w:rFonts w:ascii="Verdana" w:hAnsi="Verdana"/>
          <w:sz w:val="20"/>
          <w:szCs w:val="20"/>
          <w:lang w:val="mk-MK"/>
        </w:rPr>
        <w:t xml:space="preserve"> лица заинтересирани за инвестирање</w:t>
      </w:r>
      <w:r w:rsidRPr="009304F0">
        <w:rPr>
          <w:rFonts w:ascii="Verdana" w:hAnsi="Verdana"/>
          <w:sz w:val="20"/>
          <w:szCs w:val="20"/>
          <w:lang w:val="mk-MK"/>
        </w:rPr>
        <w:t xml:space="preserve"> во финансиски инструменти поврзани со горенаведените финансиски пазари кои можат да обезбедат многу високи приходи.</w:t>
      </w:r>
      <w:r w:rsidR="00EF30BF" w:rsidRPr="009304F0">
        <w:rPr>
          <w:rFonts w:ascii="Verdana" w:hAnsi="Verdana"/>
          <w:sz w:val="20"/>
          <w:szCs w:val="20"/>
          <w:lang w:val="en-GB"/>
        </w:rPr>
        <w:t xml:space="preserve"> </w:t>
      </w:r>
      <w:r w:rsidRPr="009304F0">
        <w:rPr>
          <w:rFonts w:ascii="Verdana" w:hAnsi="Verdana"/>
          <w:sz w:val="20"/>
          <w:szCs w:val="20"/>
          <w:lang w:val="mk-MK"/>
        </w:rPr>
        <w:t xml:space="preserve">Со кликнување на онлајн огласите, на екранот се отвара образец за членство и се повикува можната жртва да остави лични информации, </w:t>
      </w:r>
      <w:r w:rsidRPr="009304F0">
        <w:rPr>
          <w:rFonts w:ascii="Verdana" w:hAnsi="Verdana"/>
          <w:sz w:val="20"/>
          <w:szCs w:val="20"/>
          <w:lang w:val="mk-MK"/>
        </w:rPr>
        <w:lastRenderedPageBreak/>
        <w:t>вклучувајќи име, презиме, телефон за контакт, е-пошта, домашна адреса и можниот опсег на инвестицијата.</w:t>
      </w:r>
    </w:p>
    <w:p w14:paraId="237586F8" w14:textId="3D1F2EC1" w:rsidR="00EF30BF" w:rsidRPr="009304F0" w:rsidRDefault="00EF30BF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</w:p>
    <w:p w14:paraId="3D211465" w14:textId="31EAC557" w:rsidR="00EF30BF" w:rsidRPr="009304F0" w:rsidRDefault="00C20B96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  <w:lang w:val="en-GB"/>
        </w:rPr>
      </w:pPr>
      <w:r w:rsidRPr="009304F0">
        <w:rPr>
          <w:rFonts w:ascii="Verdana" w:hAnsi="Verdana"/>
          <w:sz w:val="20"/>
          <w:szCs w:val="20"/>
          <w:lang w:val="mk-MK"/>
        </w:rPr>
        <w:t>Дополнителн</w:t>
      </w:r>
      <w:r w:rsidR="008A37D1" w:rsidRPr="009304F0">
        <w:rPr>
          <w:rFonts w:ascii="Verdana" w:hAnsi="Verdana"/>
          <w:sz w:val="20"/>
          <w:szCs w:val="20"/>
          <w:lang w:val="mk-MK"/>
        </w:rPr>
        <w:t>иот</w:t>
      </w:r>
      <w:r w:rsidRPr="009304F0">
        <w:rPr>
          <w:rFonts w:ascii="Verdana" w:hAnsi="Verdana"/>
          <w:sz w:val="20"/>
          <w:szCs w:val="20"/>
          <w:lang w:val="mk-MK"/>
        </w:rPr>
        <w:t xml:space="preserve"> интерес с</w:t>
      </w:r>
      <w:r w:rsidR="005E742C" w:rsidRPr="009304F0">
        <w:rPr>
          <w:rFonts w:ascii="Verdana" w:hAnsi="Verdana"/>
          <w:sz w:val="20"/>
          <w:szCs w:val="20"/>
          <w:lang w:val="mk-MK"/>
        </w:rPr>
        <w:t xml:space="preserve">е насочува кон </w:t>
      </w:r>
      <w:r w:rsidRPr="009304F0">
        <w:rPr>
          <w:rFonts w:ascii="Verdana" w:hAnsi="Verdana"/>
          <w:sz w:val="20"/>
          <w:szCs w:val="20"/>
          <w:lang w:val="mk-MK"/>
        </w:rPr>
        <w:t>вкупниот приход од сите извори на можн</w:t>
      </w:r>
      <w:r w:rsidR="008A37D1" w:rsidRPr="009304F0">
        <w:rPr>
          <w:rFonts w:ascii="Verdana" w:hAnsi="Verdana"/>
          <w:sz w:val="20"/>
          <w:szCs w:val="20"/>
          <w:lang w:val="mk-MK"/>
        </w:rPr>
        <w:t>ата</w:t>
      </w:r>
      <w:r w:rsidRPr="009304F0">
        <w:rPr>
          <w:rFonts w:ascii="Verdana" w:hAnsi="Verdana"/>
          <w:sz w:val="20"/>
          <w:szCs w:val="20"/>
          <w:lang w:val="mk-MK"/>
        </w:rPr>
        <w:t xml:space="preserve"> </w:t>
      </w:r>
      <w:r w:rsidR="005E742C" w:rsidRPr="009304F0">
        <w:rPr>
          <w:rFonts w:ascii="Verdana" w:hAnsi="Verdana"/>
          <w:sz w:val="20"/>
          <w:szCs w:val="20"/>
          <w:lang w:val="mk-MK"/>
        </w:rPr>
        <w:t>жртв</w:t>
      </w:r>
      <w:r w:rsidR="008A37D1" w:rsidRPr="009304F0">
        <w:rPr>
          <w:rFonts w:ascii="Verdana" w:hAnsi="Verdana"/>
          <w:sz w:val="20"/>
          <w:szCs w:val="20"/>
          <w:lang w:val="mk-MK"/>
        </w:rPr>
        <w:t>а</w:t>
      </w:r>
      <w:r w:rsidR="005E742C" w:rsidRPr="009304F0">
        <w:rPr>
          <w:rFonts w:ascii="Verdana" w:hAnsi="Verdana"/>
          <w:sz w:val="20"/>
          <w:szCs w:val="20"/>
          <w:lang w:val="mk-MK"/>
        </w:rPr>
        <w:t xml:space="preserve"> </w:t>
      </w:r>
      <w:r w:rsidRPr="009304F0">
        <w:rPr>
          <w:rFonts w:ascii="Verdana" w:hAnsi="Verdana"/>
          <w:sz w:val="20"/>
          <w:szCs w:val="20"/>
          <w:lang w:val="mk-MK"/>
        </w:rPr>
        <w:t>и н</w:t>
      </w:r>
      <w:r w:rsidR="008A37D1" w:rsidRPr="009304F0">
        <w:rPr>
          <w:rFonts w:ascii="Verdana" w:hAnsi="Verdana"/>
          <w:sz w:val="20"/>
          <w:szCs w:val="20"/>
          <w:lang w:val="mk-MK"/>
        </w:rPr>
        <w:t>ејзиното</w:t>
      </w:r>
      <w:r w:rsidRPr="009304F0">
        <w:rPr>
          <w:rFonts w:ascii="Verdana" w:hAnsi="Verdana"/>
          <w:sz w:val="20"/>
          <w:szCs w:val="20"/>
          <w:lang w:val="mk-MK"/>
        </w:rPr>
        <w:t xml:space="preserve"> семејств</w:t>
      </w:r>
      <w:r w:rsidR="008A37D1" w:rsidRPr="009304F0">
        <w:rPr>
          <w:rFonts w:ascii="Verdana" w:hAnsi="Verdana"/>
          <w:sz w:val="20"/>
          <w:szCs w:val="20"/>
          <w:lang w:val="mk-MK"/>
        </w:rPr>
        <w:t>о</w:t>
      </w:r>
      <w:r w:rsidRPr="009304F0">
        <w:rPr>
          <w:rFonts w:ascii="Verdana" w:hAnsi="Verdana"/>
          <w:sz w:val="20"/>
          <w:szCs w:val="20"/>
          <w:lang w:val="mk-MK"/>
        </w:rPr>
        <w:t xml:space="preserve">, </w:t>
      </w:r>
      <w:r w:rsidR="005E742C" w:rsidRPr="009304F0">
        <w:rPr>
          <w:rFonts w:ascii="Verdana" w:hAnsi="Verdana"/>
          <w:sz w:val="20"/>
          <w:szCs w:val="20"/>
          <w:lang w:val="mk-MK"/>
        </w:rPr>
        <w:t>постојните дополнителни средства, имоти и вредности, начинот на живот и</w:t>
      </w:r>
      <w:r w:rsidR="008A37D1" w:rsidRPr="009304F0">
        <w:rPr>
          <w:rFonts w:ascii="Verdana" w:hAnsi="Verdana"/>
          <w:sz w:val="20"/>
          <w:szCs w:val="20"/>
          <w:lang w:val="mk-MK"/>
        </w:rPr>
        <w:t xml:space="preserve"> желбите</w:t>
      </w:r>
      <w:r w:rsidR="005E742C" w:rsidRPr="009304F0">
        <w:rPr>
          <w:rFonts w:ascii="Verdana" w:hAnsi="Verdana"/>
          <w:sz w:val="20"/>
          <w:szCs w:val="20"/>
          <w:lang w:val="mk-MK"/>
        </w:rPr>
        <w:t xml:space="preserve"> на жртв</w:t>
      </w:r>
      <w:r w:rsidR="008A37D1" w:rsidRPr="009304F0">
        <w:rPr>
          <w:rFonts w:ascii="Verdana" w:hAnsi="Verdana"/>
          <w:sz w:val="20"/>
          <w:szCs w:val="20"/>
          <w:lang w:val="mk-MK"/>
        </w:rPr>
        <w:t>ата</w:t>
      </w:r>
      <w:r w:rsidR="005E742C" w:rsidRPr="009304F0">
        <w:rPr>
          <w:rFonts w:ascii="Verdana" w:hAnsi="Verdana"/>
          <w:sz w:val="20"/>
          <w:szCs w:val="20"/>
          <w:lang w:val="mk-MK"/>
        </w:rPr>
        <w:t xml:space="preserve"> и членовите на н</w:t>
      </w:r>
      <w:r w:rsidR="008A37D1" w:rsidRPr="009304F0">
        <w:rPr>
          <w:rFonts w:ascii="Verdana" w:hAnsi="Verdana"/>
          <w:sz w:val="20"/>
          <w:szCs w:val="20"/>
          <w:lang w:val="mk-MK"/>
        </w:rPr>
        <w:t>ејзиното</w:t>
      </w:r>
      <w:r w:rsidR="005E742C" w:rsidRPr="009304F0">
        <w:rPr>
          <w:rFonts w:ascii="Verdana" w:hAnsi="Verdana"/>
          <w:sz w:val="20"/>
          <w:szCs w:val="20"/>
          <w:lang w:val="mk-MK"/>
        </w:rPr>
        <w:t xml:space="preserve"> семејств</w:t>
      </w:r>
      <w:r w:rsidR="008A37D1" w:rsidRPr="009304F0">
        <w:rPr>
          <w:rFonts w:ascii="Verdana" w:hAnsi="Verdana"/>
          <w:sz w:val="20"/>
          <w:szCs w:val="20"/>
          <w:lang w:val="mk-MK"/>
        </w:rPr>
        <w:t>о</w:t>
      </w:r>
      <w:r w:rsidR="005E742C" w:rsidRPr="009304F0">
        <w:rPr>
          <w:rFonts w:ascii="Verdana" w:hAnsi="Verdana"/>
          <w:sz w:val="20"/>
          <w:szCs w:val="20"/>
          <w:lang w:val="mk-MK"/>
        </w:rPr>
        <w:t>, пријателите на жртв</w:t>
      </w:r>
      <w:r w:rsidR="008A37D1" w:rsidRPr="009304F0">
        <w:rPr>
          <w:rFonts w:ascii="Verdana" w:hAnsi="Verdana"/>
          <w:sz w:val="20"/>
          <w:szCs w:val="20"/>
          <w:lang w:val="mk-MK"/>
        </w:rPr>
        <w:t>ата</w:t>
      </w:r>
      <w:r w:rsidR="005E742C" w:rsidRPr="009304F0">
        <w:rPr>
          <w:rFonts w:ascii="Verdana" w:hAnsi="Verdana"/>
          <w:sz w:val="20"/>
          <w:szCs w:val="20"/>
          <w:lang w:val="mk-MK"/>
        </w:rPr>
        <w:t xml:space="preserve"> и нивн</w:t>
      </w:r>
      <w:r w:rsidR="008A37D1" w:rsidRPr="009304F0">
        <w:rPr>
          <w:rFonts w:ascii="Verdana" w:hAnsi="Verdana"/>
          <w:sz w:val="20"/>
          <w:szCs w:val="20"/>
          <w:lang w:val="mk-MK"/>
        </w:rPr>
        <w:t>ите</w:t>
      </w:r>
      <w:r w:rsidR="005E742C" w:rsidRPr="009304F0">
        <w:rPr>
          <w:rFonts w:ascii="Verdana" w:hAnsi="Verdana"/>
          <w:sz w:val="20"/>
          <w:szCs w:val="20"/>
          <w:lang w:val="mk-MK"/>
        </w:rPr>
        <w:t xml:space="preserve"> семејств</w:t>
      </w:r>
      <w:r w:rsidR="008A37D1" w:rsidRPr="009304F0">
        <w:rPr>
          <w:rFonts w:ascii="Verdana" w:hAnsi="Verdana"/>
          <w:sz w:val="20"/>
          <w:szCs w:val="20"/>
          <w:lang w:val="mk-MK"/>
        </w:rPr>
        <w:t>а</w:t>
      </w:r>
      <w:r w:rsidR="005E742C" w:rsidRPr="009304F0">
        <w:rPr>
          <w:rFonts w:ascii="Verdana" w:hAnsi="Verdana"/>
          <w:sz w:val="20"/>
          <w:szCs w:val="20"/>
          <w:lang w:val="mk-MK"/>
        </w:rPr>
        <w:t xml:space="preserve"> и многу повеќе.</w:t>
      </w:r>
    </w:p>
    <w:p w14:paraId="41002B7E" w14:textId="77777777" w:rsidR="00EF30BF" w:rsidRPr="009304F0" w:rsidRDefault="00EF30BF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</w:p>
    <w:p w14:paraId="39184121" w14:textId="5B1D89BF" w:rsidR="00EF30BF" w:rsidRPr="009304F0" w:rsidRDefault="00871DF4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  <w:lang w:val="en-GB"/>
        </w:rPr>
      </w:pPr>
      <w:r w:rsidRPr="009304F0">
        <w:rPr>
          <w:rFonts w:ascii="Verdana" w:hAnsi="Verdana"/>
          <w:sz w:val="20"/>
          <w:szCs w:val="20"/>
          <w:lang w:val="mk-MK"/>
        </w:rPr>
        <w:t xml:space="preserve">Можната жртва смета дека сите овие прашања се во ред и се </w:t>
      </w:r>
      <w:r w:rsidR="007A5310" w:rsidRPr="009304F0">
        <w:rPr>
          <w:rFonts w:ascii="Verdana" w:hAnsi="Verdana"/>
          <w:sz w:val="20"/>
          <w:szCs w:val="20"/>
          <w:lang w:val="mk-MK"/>
        </w:rPr>
        <w:t>со цел да се најде</w:t>
      </w:r>
      <w:r w:rsidRPr="009304F0">
        <w:rPr>
          <w:rFonts w:ascii="Verdana" w:hAnsi="Verdana"/>
          <w:sz w:val="20"/>
          <w:szCs w:val="20"/>
          <w:lang w:val="mk-MK"/>
        </w:rPr>
        <w:t xml:space="preserve"> најдобро</w:t>
      </w:r>
      <w:r w:rsidR="007A5310" w:rsidRPr="009304F0">
        <w:rPr>
          <w:rFonts w:ascii="Verdana" w:hAnsi="Verdana"/>
          <w:sz w:val="20"/>
          <w:szCs w:val="20"/>
          <w:lang w:val="mk-MK"/>
        </w:rPr>
        <w:t>то</w:t>
      </w:r>
      <w:r w:rsidRPr="009304F0">
        <w:rPr>
          <w:rFonts w:ascii="Verdana" w:hAnsi="Verdana"/>
          <w:sz w:val="20"/>
          <w:szCs w:val="20"/>
          <w:lang w:val="mk-MK"/>
        </w:rPr>
        <w:t xml:space="preserve"> можно решение за </w:t>
      </w:r>
      <w:r w:rsidR="007A5310" w:rsidRPr="009304F0">
        <w:rPr>
          <w:rFonts w:ascii="Verdana" w:hAnsi="Verdana"/>
          <w:sz w:val="20"/>
          <w:szCs w:val="20"/>
          <w:lang w:val="mk-MK"/>
        </w:rPr>
        <w:t>инвестирање</w:t>
      </w:r>
      <w:r w:rsidRPr="009304F0">
        <w:rPr>
          <w:rFonts w:ascii="Verdana" w:hAnsi="Verdana"/>
          <w:sz w:val="20"/>
          <w:szCs w:val="20"/>
          <w:lang w:val="mk-MK"/>
        </w:rPr>
        <w:t xml:space="preserve"> </w:t>
      </w:r>
      <w:r w:rsidR="007A5310" w:rsidRPr="009304F0">
        <w:rPr>
          <w:rFonts w:ascii="Verdana" w:hAnsi="Verdana"/>
          <w:sz w:val="20"/>
          <w:szCs w:val="20"/>
          <w:lang w:val="mk-MK"/>
        </w:rPr>
        <w:t>во</w:t>
      </w:r>
      <w:r w:rsidRPr="009304F0">
        <w:rPr>
          <w:rFonts w:ascii="Verdana" w:hAnsi="Verdana"/>
          <w:sz w:val="20"/>
          <w:szCs w:val="20"/>
          <w:lang w:val="mk-MK"/>
        </w:rPr>
        <w:t xml:space="preserve"> пазарот, што е поддржано од комуникацијата со лицето/брокерот за продажба.</w:t>
      </w:r>
    </w:p>
    <w:p w14:paraId="2AB9EB63" w14:textId="77777777" w:rsidR="00EF30BF" w:rsidRPr="009304F0" w:rsidRDefault="00EF30BF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</w:rPr>
      </w:pPr>
    </w:p>
    <w:p w14:paraId="5E83C173" w14:textId="33E4810A" w:rsidR="00EF30BF" w:rsidRPr="009304F0" w:rsidRDefault="00871DF4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  <w:lang w:val="en-GB"/>
        </w:rPr>
      </w:pPr>
      <w:r w:rsidRPr="009304F0">
        <w:rPr>
          <w:rFonts w:ascii="Verdana" w:hAnsi="Verdana"/>
          <w:sz w:val="20"/>
          <w:szCs w:val="20"/>
          <w:lang w:val="mk-MK"/>
        </w:rPr>
        <w:t>Финансиските инструменти што се нудат за инвестирање се „бинарни опции“</w:t>
      </w:r>
      <w:r w:rsidR="007A5310" w:rsidRPr="009304F0">
        <w:rPr>
          <w:rFonts w:ascii="Verdana" w:hAnsi="Verdana"/>
          <w:sz w:val="20"/>
          <w:szCs w:val="20"/>
          <w:lang w:val="mk-MK"/>
        </w:rPr>
        <w:t>,</w:t>
      </w:r>
      <w:r w:rsidRPr="009304F0">
        <w:rPr>
          <w:rFonts w:ascii="Verdana" w:hAnsi="Verdana"/>
          <w:sz w:val="20"/>
          <w:szCs w:val="20"/>
          <w:lang w:val="mk-MK"/>
        </w:rPr>
        <w:t xml:space="preserve"> што во основа претставуваат прогноза за вредноста на одредена акција или стока на пазарот во одреден датум и време.</w:t>
      </w:r>
      <w:r w:rsidR="00EF30BF" w:rsidRPr="009304F0">
        <w:rPr>
          <w:rFonts w:ascii="Verdana" w:hAnsi="Verdana"/>
          <w:sz w:val="20"/>
          <w:szCs w:val="20"/>
          <w:lang w:val="en-GB"/>
        </w:rPr>
        <w:t xml:space="preserve"> </w:t>
      </w:r>
      <w:r w:rsidRPr="009304F0">
        <w:rPr>
          <w:rFonts w:ascii="Verdana" w:hAnsi="Verdana"/>
          <w:sz w:val="20"/>
          <w:szCs w:val="20"/>
          <w:lang w:val="mk-MK"/>
        </w:rPr>
        <w:t>Во случај на добра претпоставка, се исплаќа одредена добивка, додека во спротивен случај се губат сите вложени пари.</w:t>
      </w:r>
    </w:p>
    <w:p w14:paraId="6A07FC10" w14:textId="77777777" w:rsidR="00EF30BF" w:rsidRPr="009304F0" w:rsidRDefault="00EF30BF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  <w:lang w:val="en-GB"/>
        </w:rPr>
      </w:pPr>
    </w:p>
    <w:p w14:paraId="132CA87C" w14:textId="04DE9F3F" w:rsidR="00EF30BF" w:rsidRPr="009304F0" w:rsidRDefault="00447019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  <w:lang w:val="en-GB"/>
        </w:rPr>
      </w:pPr>
      <w:r w:rsidRPr="009304F0">
        <w:rPr>
          <w:rFonts w:ascii="Verdana" w:hAnsi="Verdana"/>
          <w:sz w:val="20"/>
          <w:szCs w:val="20"/>
          <w:lang w:val="mk-MK"/>
        </w:rPr>
        <w:t>Во следниот чекор</w:t>
      </w:r>
      <w:r w:rsidR="00227C59" w:rsidRPr="009304F0">
        <w:rPr>
          <w:rFonts w:ascii="Verdana" w:hAnsi="Verdana"/>
          <w:sz w:val="20"/>
          <w:szCs w:val="20"/>
          <w:lang w:val="mk-MK"/>
        </w:rPr>
        <w:t>, на жртвите</w:t>
      </w:r>
      <w:r w:rsidRPr="009304F0">
        <w:rPr>
          <w:rFonts w:ascii="Verdana" w:hAnsi="Verdana"/>
          <w:sz w:val="20"/>
          <w:szCs w:val="20"/>
          <w:lang w:val="mk-MK"/>
        </w:rPr>
        <w:t xml:space="preserve"> им се препорачува да ги зголемат инвестициите со трансфер на пари од сметките на нивните кредитни картички на дадената онлајн сметка на брокерот на</w:t>
      </w:r>
      <w:r w:rsidR="008A37D1" w:rsidRPr="009304F0">
        <w:rPr>
          <w:rFonts w:ascii="Verdana" w:hAnsi="Verdana"/>
          <w:sz w:val="20"/>
          <w:szCs w:val="20"/>
          <w:lang w:val="mk-MK"/>
        </w:rPr>
        <w:t xml:space="preserve"> т.н.</w:t>
      </w:r>
      <w:r w:rsidRPr="009304F0">
        <w:rPr>
          <w:rFonts w:ascii="Verdana" w:hAnsi="Verdana"/>
          <w:sz w:val="20"/>
          <w:szCs w:val="20"/>
          <w:lang w:val="mk-MK"/>
        </w:rPr>
        <w:t xml:space="preserve"> „Кактус пазар“. Жртвите имаат пристап до нивните онлајн сметки каде што можат да го следат статусот на нивните инвестиции и заработка.</w:t>
      </w:r>
      <w:r w:rsidR="00EF30BF" w:rsidRPr="009304F0">
        <w:rPr>
          <w:rFonts w:ascii="Verdana" w:hAnsi="Verdana"/>
          <w:sz w:val="20"/>
          <w:szCs w:val="20"/>
          <w:lang w:val="en-GB"/>
        </w:rPr>
        <w:t xml:space="preserve"> </w:t>
      </w:r>
      <w:r w:rsidRPr="009304F0">
        <w:rPr>
          <w:rFonts w:ascii="Verdana" w:hAnsi="Verdana"/>
          <w:sz w:val="20"/>
          <w:szCs w:val="20"/>
          <w:lang w:val="mk-MK"/>
        </w:rPr>
        <w:t>Заработката покажува значителен постојан пораст што, заедно со советите од „брокерот“, ја уверува жртвата да продолжи да инвестира.</w:t>
      </w:r>
    </w:p>
    <w:p w14:paraId="7762E091" w14:textId="77777777" w:rsidR="00EF30BF" w:rsidRPr="009304F0" w:rsidRDefault="00EF30BF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  <w:lang w:val="en-GB"/>
        </w:rPr>
      </w:pPr>
    </w:p>
    <w:p w14:paraId="69F647C6" w14:textId="1918C44C" w:rsidR="00EF30BF" w:rsidRPr="009304F0" w:rsidRDefault="00880F89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  <w:lang w:val="en-GB"/>
        </w:rPr>
      </w:pPr>
      <w:r w:rsidRPr="009304F0">
        <w:rPr>
          <w:rFonts w:ascii="Verdana" w:hAnsi="Verdana"/>
          <w:sz w:val="20"/>
          <w:szCs w:val="20"/>
          <w:lang w:val="mk-MK"/>
        </w:rPr>
        <w:t>Меѓутоа, кога жртвата сака да ги повлече инвестициите и заработката, брокерот ја одбива таа постапка поради „пазарните правила“.</w:t>
      </w:r>
      <w:r w:rsidR="00EF30BF" w:rsidRPr="009304F0">
        <w:rPr>
          <w:rFonts w:ascii="Verdana" w:hAnsi="Verdana"/>
          <w:sz w:val="20"/>
          <w:szCs w:val="20"/>
          <w:lang w:val="en-GB"/>
        </w:rPr>
        <w:t xml:space="preserve"> </w:t>
      </w:r>
      <w:r w:rsidRPr="009304F0">
        <w:rPr>
          <w:rFonts w:ascii="Verdana" w:hAnsi="Verdana"/>
          <w:sz w:val="20"/>
          <w:szCs w:val="20"/>
          <w:lang w:val="mk-MK"/>
        </w:rPr>
        <w:t xml:space="preserve">Кога жртвата продолжува да инсистира </w:t>
      </w:r>
      <w:r w:rsidR="009B562A" w:rsidRPr="009304F0">
        <w:rPr>
          <w:rFonts w:ascii="Verdana" w:hAnsi="Verdana"/>
          <w:sz w:val="20"/>
          <w:szCs w:val="20"/>
          <w:lang w:val="mk-MK"/>
        </w:rPr>
        <w:t>з</w:t>
      </w:r>
      <w:r w:rsidRPr="009304F0">
        <w:rPr>
          <w:rFonts w:ascii="Verdana" w:hAnsi="Verdana"/>
          <w:sz w:val="20"/>
          <w:szCs w:val="20"/>
          <w:lang w:val="mk-MK"/>
        </w:rPr>
        <w:t>а значителна или целосна исплата или повлекување на вложените и „заработените“ пари, „брокерот“ ја пре</w:t>
      </w:r>
      <w:r w:rsidR="00E84066" w:rsidRPr="009304F0">
        <w:rPr>
          <w:rFonts w:ascii="Verdana" w:hAnsi="Verdana"/>
          <w:sz w:val="20"/>
          <w:szCs w:val="20"/>
          <w:lang w:val="mk-MK"/>
        </w:rPr>
        <w:t>праќа</w:t>
      </w:r>
      <w:r w:rsidRPr="009304F0">
        <w:rPr>
          <w:rFonts w:ascii="Verdana" w:hAnsi="Verdana"/>
          <w:sz w:val="20"/>
          <w:szCs w:val="20"/>
          <w:lang w:val="mk-MK"/>
        </w:rPr>
        <w:t xml:space="preserve"> жртвата</w:t>
      </w:r>
      <w:r w:rsidR="00E84066" w:rsidRPr="009304F0">
        <w:rPr>
          <w:rFonts w:ascii="Verdana" w:hAnsi="Verdana"/>
          <w:sz w:val="20"/>
          <w:szCs w:val="20"/>
          <w:lang w:val="mk-MK"/>
        </w:rPr>
        <w:t xml:space="preserve"> кон </w:t>
      </w:r>
      <w:r w:rsidRPr="009304F0">
        <w:rPr>
          <w:rFonts w:ascii="Verdana" w:hAnsi="Verdana"/>
          <w:sz w:val="20"/>
          <w:szCs w:val="20"/>
          <w:lang w:val="mk-MK"/>
        </w:rPr>
        <w:t>„повисокото раководство“.</w:t>
      </w:r>
      <w:r w:rsidR="00EF30BF" w:rsidRPr="009304F0">
        <w:rPr>
          <w:rFonts w:ascii="Verdana" w:hAnsi="Verdana"/>
          <w:sz w:val="20"/>
          <w:szCs w:val="20"/>
          <w:lang w:val="en-GB"/>
        </w:rPr>
        <w:t xml:space="preserve"> </w:t>
      </w:r>
      <w:r w:rsidRPr="009304F0">
        <w:rPr>
          <w:rFonts w:ascii="Verdana" w:hAnsi="Verdana"/>
          <w:sz w:val="20"/>
          <w:szCs w:val="20"/>
          <w:lang w:val="mk-MK"/>
        </w:rPr>
        <w:t>Лицето од повисокото раководство продолжува да ја убедува жртвата да продолжи да инвестира, но некои од жртвите не се согласуваат со тоа и инсистираат да бидат исплатени.</w:t>
      </w:r>
    </w:p>
    <w:p w14:paraId="4B31188D" w14:textId="77777777" w:rsidR="00EF30BF" w:rsidRPr="009304F0" w:rsidRDefault="00EF30BF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  <w:lang w:val="en-GB"/>
        </w:rPr>
      </w:pPr>
    </w:p>
    <w:p w14:paraId="2C9E77DA" w14:textId="0DBE6AD6" w:rsidR="00EF30BF" w:rsidRPr="009304F0" w:rsidRDefault="00FA5A69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  <w:lang w:val="en-GB"/>
        </w:rPr>
      </w:pPr>
      <w:r w:rsidRPr="009304F0">
        <w:rPr>
          <w:rFonts w:ascii="Verdana" w:hAnsi="Verdana"/>
          <w:sz w:val="20"/>
          <w:szCs w:val="20"/>
          <w:lang w:val="mk-MK"/>
        </w:rPr>
        <w:t xml:space="preserve">После таквото барање во краток временски период, во повеќето случаи во рок од 24 часа, „раководителот“ ја информира жртвата дека поради флуктуацијата на финансискиот пазар, нивното </w:t>
      </w:r>
      <w:r w:rsidR="009B562A" w:rsidRPr="009304F0">
        <w:rPr>
          <w:rFonts w:ascii="Verdana" w:hAnsi="Verdana"/>
          <w:sz w:val="20"/>
          <w:szCs w:val="20"/>
          <w:lang w:val="mk-MK"/>
        </w:rPr>
        <w:t>портфолио</w:t>
      </w:r>
      <w:r w:rsidRPr="009304F0">
        <w:rPr>
          <w:rFonts w:ascii="Verdana" w:hAnsi="Verdana"/>
          <w:sz w:val="20"/>
          <w:szCs w:val="20"/>
          <w:lang w:val="mk-MK"/>
        </w:rPr>
        <w:t xml:space="preserve"> за „бинарна опција“ е изгубено и дека сите пари се </w:t>
      </w:r>
      <w:r w:rsidR="009B562A" w:rsidRPr="009304F0">
        <w:rPr>
          <w:rFonts w:ascii="Verdana" w:hAnsi="Verdana"/>
          <w:sz w:val="20"/>
          <w:szCs w:val="20"/>
          <w:lang w:val="mk-MK"/>
        </w:rPr>
        <w:t>исчезнати</w:t>
      </w:r>
      <w:r w:rsidRPr="009304F0">
        <w:rPr>
          <w:rFonts w:ascii="Verdana" w:hAnsi="Verdana"/>
          <w:sz w:val="20"/>
          <w:szCs w:val="20"/>
          <w:lang w:val="mk-MK"/>
        </w:rPr>
        <w:t>, што жртвата може исто така да го види на својата онлајн сметка.</w:t>
      </w:r>
      <w:r w:rsidR="00EF30BF" w:rsidRPr="009304F0">
        <w:rPr>
          <w:rFonts w:ascii="Verdana" w:hAnsi="Verdana"/>
          <w:sz w:val="20"/>
          <w:szCs w:val="20"/>
          <w:lang w:val="en-GB"/>
        </w:rPr>
        <w:t xml:space="preserve"> </w:t>
      </w:r>
      <w:r w:rsidRPr="009304F0">
        <w:rPr>
          <w:rFonts w:ascii="Verdana" w:hAnsi="Verdana"/>
          <w:sz w:val="20"/>
          <w:szCs w:val="20"/>
          <w:lang w:val="mk-MK"/>
        </w:rPr>
        <w:t>Жртвите почнуваат да паничат и бараат дополнителни објаснувања во живо, а не преку онлајн контакт со брокер и/или раководството.</w:t>
      </w:r>
      <w:r w:rsidR="00EF30BF" w:rsidRPr="009304F0">
        <w:rPr>
          <w:rFonts w:ascii="Verdana" w:hAnsi="Verdana"/>
          <w:sz w:val="20"/>
          <w:szCs w:val="20"/>
          <w:lang w:val="en-GB"/>
        </w:rPr>
        <w:t xml:space="preserve"> </w:t>
      </w:r>
    </w:p>
    <w:p w14:paraId="0AE6D318" w14:textId="77777777" w:rsidR="00EF30BF" w:rsidRPr="009304F0" w:rsidRDefault="00EF30BF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  <w:lang w:val="en-GB"/>
        </w:rPr>
      </w:pPr>
    </w:p>
    <w:p w14:paraId="789A03A7" w14:textId="738EF46C" w:rsidR="00EF30BF" w:rsidRPr="009304F0" w:rsidRDefault="00FA5A69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  <w:lang w:val="en-GB"/>
        </w:rPr>
      </w:pPr>
      <w:r w:rsidRPr="009304F0">
        <w:rPr>
          <w:rFonts w:ascii="Verdana" w:hAnsi="Verdana"/>
          <w:sz w:val="20"/>
          <w:szCs w:val="20"/>
          <w:lang w:val="mk-MK"/>
        </w:rPr>
        <w:t>Комуникацијата престанува по таквото барање.</w:t>
      </w:r>
      <w:r w:rsidR="00EF30BF" w:rsidRPr="009304F0">
        <w:rPr>
          <w:rFonts w:ascii="Verdana" w:hAnsi="Verdana"/>
          <w:sz w:val="20"/>
          <w:szCs w:val="20"/>
          <w:lang w:val="en-GB"/>
        </w:rPr>
        <w:t xml:space="preserve"> </w:t>
      </w:r>
      <w:r w:rsidRPr="009304F0">
        <w:rPr>
          <w:rFonts w:ascii="Verdana" w:hAnsi="Verdana"/>
          <w:sz w:val="20"/>
          <w:szCs w:val="20"/>
          <w:lang w:val="mk-MK"/>
        </w:rPr>
        <w:t xml:space="preserve">Никој не одговара на телефонските </w:t>
      </w:r>
      <w:r w:rsidR="009B562A" w:rsidRPr="009304F0">
        <w:rPr>
          <w:rFonts w:ascii="Verdana" w:hAnsi="Verdana"/>
          <w:sz w:val="20"/>
          <w:szCs w:val="20"/>
          <w:lang w:val="mk-MK"/>
        </w:rPr>
        <w:t>повици, а</w:t>
      </w:r>
      <w:r w:rsidRPr="009304F0">
        <w:rPr>
          <w:rFonts w:ascii="Verdana" w:hAnsi="Verdana"/>
          <w:sz w:val="20"/>
          <w:szCs w:val="20"/>
          <w:lang w:val="mk-MK"/>
        </w:rPr>
        <w:t xml:space="preserve"> онлајн сметката е избришана.</w:t>
      </w:r>
      <w:r w:rsidR="00EF30BF" w:rsidRPr="009304F0">
        <w:rPr>
          <w:rFonts w:ascii="Verdana" w:hAnsi="Verdana"/>
          <w:sz w:val="20"/>
          <w:szCs w:val="20"/>
          <w:lang w:val="en-GB"/>
        </w:rPr>
        <w:t xml:space="preserve"> </w:t>
      </w:r>
      <w:r w:rsidR="000A621D" w:rsidRPr="009304F0">
        <w:rPr>
          <w:rFonts w:ascii="Verdana" w:hAnsi="Verdana"/>
          <w:sz w:val="20"/>
          <w:szCs w:val="20"/>
          <w:lang w:val="mk-MK"/>
        </w:rPr>
        <w:t>Штетите се на лично ниво, во износ од десетици илјади до стотици илјади евра.</w:t>
      </w:r>
      <w:r w:rsidR="00EF30BF" w:rsidRPr="009304F0">
        <w:rPr>
          <w:rFonts w:ascii="Verdana" w:hAnsi="Verdana"/>
          <w:sz w:val="20"/>
          <w:szCs w:val="20"/>
          <w:lang w:val="en-GB"/>
        </w:rPr>
        <w:t xml:space="preserve"> </w:t>
      </w:r>
      <w:r w:rsidR="000A621D" w:rsidRPr="009304F0">
        <w:rPr>
          <w:rFonts w:ascii="Verdana" w:hAnsi="Verdana"/>
          <w:sz w:val="20"/>
          <w:szCs w:val="20"/>
          <w:lang w:val="mk-MK"/>
        </w:rPr>
        <w:t>Бројот на поплаки расте.</w:t>
      </w:r>
      <w:r w:rsidR="00EF30BF" w:rsidRPr="009304F0">
        <w:rPr>
          <w:rFonts w:ascii="Verdana" w:hAnsi="Verdana"/>
          <w:sz w:val="20"/>
          <w:szCs w:val="20"/>
          <w:lang w:val="en-GB"/>
        </w:rPr>
        <w:t xml:space="preserve"> </w:t>
      </w:r>
      <w:r w:rsidR="000A621D" w:rsidRPr="009304F0">
        <w:rPr>
          <w:rFonts w:ascii="Verdana" w:hAnsi="Verdana"/>
          <w:sz w:val="20"/>
          <w:szCs w:val="20"/>
          <w:lang w:val="mk-MK"/>
        </w:rPr>
        <w:t xml:space="preserve">Се чини дека измамата </w:t>
      </w:r>
      <w:r w:rsidR="009B562A" w:rsidRPr="009304F0">
        <w:rPr>
          <w:rFonts w:ascii="Verdana" w:hAnsi="Verdana"/>
          <w:sz w:val="20"/>
          <w:szCs w:val="20"/>
          <w:lang w:val="mk-MK"/>
        </w:rPr>
        <w:t>повлекла</w:t>
      </w:r>
      <w:r w:rsidR="000A621D" w:rsidRPr="009304F0">
        <w:rPr>
          <w:rFonts w:ascii="Verdana" w:hAnsi="Verdana"/>
          <w:sz w:val="20"/>
          <w:szCs w:val="20"/>
          <w:lang w:val="mk-MK"/>
        </w:rPr>
        <w:t xml:space="preserve"> милиони, па дури и десетици милиони евра.</w:t>
      </w:r>
    </w:p>
    <w:p w14:paraId="405FCA20" w14:textId="77777777" w:rsidR="00EF30BF" w:rsidRPr="009304F0" w:rsidRDefault="00EF30BF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  <w:lang w:val="en-GB"/>
        </w:rPr>
      </w:pPr>
    </w:p>
    <w:p w14:paraId="7F5FB709" w14:textId="4E43CEB7" w:rsidR="00EF30BF" w:rsidRPr="009304F0" w:rsidRDefault="000A621D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  <w:lang w:val="en-GB"/>
        </w:rPr>
      </w:pPr>
      <w:r w:rsidRPr="009304F0">
        <w:rPr>
          <w:rFonts w:ascii="Verdana" w:hAnsi="Verdana"/>
          <w:sz w:val="20"/>
          <w:szCs w:val="20"/>
          <w:lang w:val="mk-MK"/>
        </w:rPr>
        <w:t>Германското обвинителство мора брзо да реагира.</w:t>
      </w:r>
    </w:p>
    <w:p w14:paraId="43FE2C9A" w14:textId="77777777" w:rsidR="00EF30BF" w:rsidRPr="009304F0" w:rsidRDefault="00EF30BF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  <w:lang w:val="en-GB"/>
        </w:rPr>
      </w:pPr>
    </w:p>
    <w:p w14:paraId="16DC07B5" w14:textId="72F65991" w:rsidR="00EF30BF" w:rsidRPr="009304F0" w:rsidRDefault="000A621D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  <w:lang w:val="en-GB"/>
        </w:rPr>
      </w:pPr>
      <w:r w:rsidRPr="009304F0">
        <w:rPr>
          <w:rFonts w:ascii="Verdana" w:hAnsi="Verdana"/>
          <w:sz w:val="20"/>
          <w:szCs w:val="20"/>
          <w:lang w:val="mk-MK"/>
        </w:rPr>
        <w:t>Први</w:t>
      </w:r>
      <w:r w:rsidR="009B562A" w:rsidRPr="009304F0">
        <w:rPr>
          <w:rFonts w:ascii="Verdana" w:hAnsi="Verdana"/>
          <w:sz w:val="20"/>
          <w:szCs w:val="20"/>
          <w:lang w:val="mk-MK"/>
        </w:rPr>
        <w:t>ч</w:t>
      </w:r>
      <w:r w:rsidRPr="009304F0">
        <w:rPr>
          <w:rFonts w:ascii="Verdana" w:hAnsi="Verdana"/>
          <w:sz w:val="20"/>
          <w:szCs w:val="20"/>
          <w:lang w:val="mk-MK"/>
        </w:rPr>
        <w:t>ните полициски извештаи покажуваат дека сите контакти, телефони или е-пошти се остваруваат преку VOIP или веб-услуги за е-пошта.</w:t>
      </w:r>
      <w:r w:rsidR="00EF30BF" w:rsidRPr="009304F0">
        <w:rPr>
          <w:rFonts w:ascii="Verdana" w:hAnsi="Verdana"/>
          <w:sz w:val="20"/>
          <w:szCs w:val="20"/>
          <w:lang w:val="en-GB"/>
        </w:rPr>
        <w:t xml:space="preserve"> </w:t>
      </w:r>
      <w:r w:rsidRPr="009304F0">
        <w:rPr>
          <w:rFonts w:ascii="Verdana" w:hAnsi="Verdana"/>
          <w:sz w:val="20"/>
          <w:szCs w:val="20"/>
          <w:lang w:val="mk-MK"/>
        </w:rPr>
        <w:t xml:space="preserve">Ниту една од </w:t>
      </w:r>
      <w:r w:rsidR="00E84066" w:rsidRPr="009304F0">
        <w:rPr>
          <w:rFonts w:ascii="Verdana" w:hAnsi="Verdana"/>
          <w:sz w:val="20"/>
          <w:szCs w:val="20"/>
        </w:rPr>
        <w:t>IP</w:t>
      </w:r>
      <w:r w:rsidRPr="009304F0">
        <w:rPr>
          <w:rFonts w:ascii="Verdana" w:hAnsi="Verdana"/>
          <w:sz w:val="20"/>
          <w:szCs w:val="20"/>
          <w:lang w:val="mk-MK"/>
        </w:rPr>
        <w:t xml:space="preserve"> адресите не е во Германија.</w:t>
      </w:r>
      <w:r w:rsidR="00EF30BF" w:rsidRPr="009304F0">
        <w:rPr>
          <w:rFonts w:ascii="Verdana" w:hAnsi="Verdana"/>
          <w:sz w:val="20"/>
          <w:szCs w:val="20"/>
          <w:lang w:val="en-GB"/>
        </w:rPr>
        <w:t xml:space="preserve"> </w:t>
      </w:r>
      <w:r w:rsidRPr="009304F0">
        <w:rPr>
          <w:rFonts w:ascii="Verdana" w:hAnsi="Verdana"/>
          <w:sz w:val="20"/>
          <w:szCs w:val="20"/>
          <w:lang w:val="mk-MK"/>
        </w:rPr>
        <w:t xml:space="preserve">VOIP адресите </w:t>
      </w:r>
      <w:r w:rsidR="00E84066" w:rsidRPr="009304F0">
        <w:rPr>
          <w:rFonts w:ascii="Verdana" w:hAnsi="Verdana"/>
          <w:sz w:val="20"/>
          <w:szCs w:val="20"/>
          <w:lang w:val="mk-MK"/>
        </w:rPr>
        <w:t>водат</w:t>
      </w:r>
      <w:r w:rsidRPr="009304F0">
        <w:rPr>
          <w:rFonts w:ascii="Verdana" w:hAnsi="Verdana"/>
          <w:sz w:val="20"/>
          <w:szCs w:val="20"/>
          <w:lang w:val="mk-MK"/>
        </w:rPr>
        <w:t xml:space="preserve"> кон Југоисточна Европа, главно Србија и Бугарија.</w:t>
      </w:r>
      <w:r w:rsidR="00EF30BF" w:rsidRPr="009304F0">
        <w:rPr>
          <w:rFonts w:ascii="Verdana" w:hAnsi="Verdana"/>
          <w:sz w:val="20"/>
          <w:szCs w:val="20"/>
          <w:lang w:val="en-GB"/>
        </w:rPr>
        <w:t xml:space="preserve"> </w:t>
      </w:r>
      <w:r w:rsidRPr="009304F0">
        <w:rPr>
          <w:rFonts w:ascii="Verdana" w:hAnsi="Verdana"/>
          <w:sz w:val="20"/>
          <w:szCs w:val="20"/>
          <w:lang w:val="mk-MK"/>
        </w:rPr>
        <w:t>Првичните банкарски извештаи на жртвите покажуваат дека сметките на кои жртвите пратиле пари се во Чешка</w:t>
      </w:r>
      <w:r w:rsidR="00E84066" w:rsidRPr="009304F0">
        <w:rPr>
          <w:rFonts w:ascii="Verdana" w:hAnsi="Verdana"/>
          <w:sz w:val="20"/>
          <w:szCs w:val="20"/>
          <w:lang w:val="mk-MK"/>
        </w:rPr>
        <w:t>та</w:t>
      </w:r>
      <w:r w:rsidRPr="009304F0">
        <w:rPr>
          <w:rFonts w:ascii="Verdana" w:hAnsi="Verdana"/>
          <w:sz w:val="20"/>
          <w:szCs w:val="20"/>
          <w:lang w:val="mk-MK"/>
        </w:rPr>
        <w:t xml:space="preserve"> Република.</w:t>
      </w:r>
      <w:r w:rsidR="00EF30BF" w:rsidRPr="009304F0">
        <w:rPr>
          <w:rFonts w:ascii="Verdana" w:hAnsi="Verdana"/>
          <w:sz w:val="20"/>
          <w:szCs w:val="20"/>
          <w:lang w:val="en-GB"/>
        </w:rPr>
        <w:t xml:space="preserve"> </w:t>
      </w:r>
      <w:r w:rsidRPr="009304F0">
        <w:rPr>
          <w:rFonts w:ascii="Verdana" w:hAnsi="Verdana"/>
          <w:sz w:val="20"/>
          <w:szCs w:val="20"/>
          <w:lang w:val="mk-MK"/>
        </w:rPr>
        <w:t>Брокерската компанија „Мој брокер“ не е регистрирана во Германија или во Чешка</w:t>
      </w:r>
      <w:r w:rsidR="00E84066" w:rsidRPr="009304F0">
        <w:rPr>
          <w:rFonts w:ascii="Verdana" w:hAnsi="Verdana"/>
          <w:sz w:val="20"/>
          <w:szCs w:val="20"/>
          <w:lang w:val="mk-MK"/>
        </w:rPr>
        <w:t>та</w:t>
      </w:r>
      <w:r w:rsidRPr="009304F0">
        <w:rPr>
          <w:rFonts w:ascii="Verdana" w:hAnsi="Verdana"/>
          <w:sz w:val="20"/>
          <w:szCs w:val="20"/>
          <w:lang w:val="mk-MK"/>
        </w:rPr>
        <w:t xml:space="preserve"> Република.</w:t>
      </w:r>
      <w:r w:rsidR="00EF30BF" w:rsidRPr="009304F0">
        <w:rPr>
          <w:rFonts w:ascii="Verdana" w:hAnsi="Verdana"/>
          <w:sz w:val="20"/>
          <w:szCs w:val="20"/>
          <w:lang w:val="en-GB"/>
        </w:rPr>
        <w:t xml:space="preserve"> </w:t>
      </w:r>
      <w:r w:rsidRPr="009304F0">
        <w:rPr>
          <w:rFonts w:ascii="Verdana" w:hAnsi="Verdana"/>
          <w:sz w:val="20"/>
          <w:szCs w:val="20"/>
          <w:lang w:val="mk-MK"/>
        </w:rPr>
        <w:t xml:space="preserve">Жртвите </w:t>
      </w:r>
      <w:r w:rsidR="00E84066" w:rsidRPr="009304F0">
        <w:rPr>
          <w:rFonts w:ascii="Verdana" w:hAnsi="Verdana"/>
          <w:sz w:val="20"/>
          <w:szCs w:val="20"/>
          <w:lang w:val="mk-MK"/>
        </w:rPr>
        <w:t>кажуваат</w:t>
      </w:r>
      <w:r w:rsidRPr="009304F0">
        <w:rPr>
          <w:rFonts w:ascii="Verdana" w:hAnsi="Verdana"/>
          <w:sz w:val="20"/>
          <w:szCs w:val="20"/>
          <w:lang w:val="mk-MK"/>
        </w:rPr>
        <w:t xml:space="preserve"> дека брокерите се претставува</w:t>
      </w:r>
      <w:r w:rsidR="009B562A" w:rsidRPr="009304F0">
        <w:rPr>
          <w:rFonts w:ascii="Verdana" w:hAnsi="Verdana"/>
          <w:sz w:val="20"/>
          <w:szCs w:val="20"/>
          <w:lang w:val="mk-MK"/>
        </w:rPr>
        <w:t>ле</w:t>
      </w:r>
      <w:r w:rsidRPr="009304F0">
        <w:rPr>
          <w:rFonts w:ascii="Verdana" w:hAnsi="Verdana"/>
          <w:sz w:val="20"/>
          <w:szCs w:val="20"/>
          <w:lang w:val="mk-MK"/>
        </w:rPr>
        <w:t xml:space="preserve"> </w:t>
      </w:r>
      <w:r w:rsidR="009B562A" w:rsidRPr="009304F0">
        <w:rPr>
          <w:rFonts w:ascii="Verdana" w:hAnsi="Verdana"/>
          <w:sz w:val="20"/>
          <w:szCs w:val="20"/>
          <w:lang w:val="mk-MK"/>
        </w:rPr>
        <w:t>себеси</w:t>
      </w:r>
      <w:r w:rsidRPr="009304F0">
        <w:rPr>
          <w:rFonts w:ascii="Verdana" w:hAnsi="Verdana"/>
          <w:sz w:val="20"/>
          <w:szCs w:val="20"/>
          <w:lang w:val="mk-MK"/>
        </w:rPr>
        <w:t xml:space="preserve"> со германски имиња и презимиња и дека зборувале совршен германски јазик без нагласок.</w:t>
      </w:r>
      <w:r w:rsidR="00EF30BF" w:rsidRPr="009304F0">
        <w:rPr>
          <w:rFonts w:ascii="Verdana" w:hAnsi="Verdana"/>
          <w:sz w:val="20"/>
          <w:szCs w:val="20"/>
          <w:lang w:val="en-GB"/>
        </w:rPr>
        <w:t xml:space="preserve"> </w:t>
      </w:r>
    </w:p>
    <w:p w14:paraId="7E25169A" w14:textId="77777777" w:rsidR="00EF30BF" w:rsidRPr="009304F0" w:rsidRDefault="00EF30BF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  <w:lang w:val="en-GB"/>
        </w:rPr>
      </w:pPr>
    </w:p>
    <w:p w14:paraId="3DC31617" w14:textId="1554E5A9" w:rsidR="005269F5" w:rsidRPr="009304F0" w:rsidRDefault="000A621D" w:rsidP="009304F0">
      <w:pPr>
        <w:spacing w:before="120" w:after="120" w:line="260" w:lineRule="atLeast"/>
        <w:jc w:val="both"/>
        <w:rPr>
          <w:rFonts w:ascii="Verdana" w:hAnsi="Verdana"/>
          <w:sz w:val="20"/>
          <w:szCs w:val="20"/>
          <w:lang w:val="en-GB"/>
        </w:rPr>
      </w:pPr>
      <w:r w:rsidRPr="009304F0">
        <w:rPr>
          <w:rFonts w:ascii="Verdana" w:hAnsi="Verdana"/>
          <w:sz w:val="20"/>
          <w:szCs w:val="20"/>
          <w:lang w:val="mk-MK"/>
        </w:rPr>
        <w:t xml:space="preserve">Обвинителството ја започнува истрагата со </w:t>
      </w:r>
      <w:r w:rsidR="00E84066" w:rsidRPr="009304F0">
        <w:rPr>
          <w:rFonts w:ascii="Verdana" w:hAnsi="Verdana"/>
          <w:sz w:val="20"/>
          <w:szCs w:val="20"/>
          <w:lang w:val="mk-MK"/>
        </w:rPr>
        <w:t>дописи</w:t>
      </w:r>
      <w:r w:rsidRPr="009304F0">
        <w:rPr>
          <w:rFonts w:ascii="Verdana" w:hAnsi="Verdana"/>
          <w:sz w:val="20"/>
          <w:szCs w:val="20"/>
          <w:lang w:val="mk-MK"/>
        </w:rPr>
        <w:t xml:space="preserve"> за барање </w:t>
      </w:r>
      <w:r w:rsidR="009B562A" w:rsidRPr="009304F0">
        <w:rPr>
          <w:rFonts w:ascii="Verdana" w:hAnsi="Verdana"/>
          <w:sz w:val="20"/>
          <w:szCs w:val="20"/>
          <w:lang w:val="mk-MK"/>
        </w:rPr>
        <w:t>н</w:t>
      </w:r>
      <w:r w:rsidRPr="009304F0">
        <w:rPr>
          <w:rFonts w:ascii="Verdana" w:hAnsi="Verdana"/>
          <w:sz w:val="20"/>
          <w:szCs w:val="20"/>
          <w:lang w:val="mk-MK"/>
        </w:rPr>
        <w:t xml:space="preserve">а непосредна и итна </w:t>
      </w:r>
      <w:r w:rsidR="00E84066" w:rsidRPr="009304F0">
        <w:rPr>
          <w:rFonts w:ascii="Verdana" w:hAnsi="Verdana"/>
          <w:sz w:val="20"/>
          <w:szCs w:val="20"/>
          <w:lang w:val="mk-MK"/>
        </w:rPr>
        <w:t>з</w:t>
      </w:r>
      <w:r w:rsidRPr="009304F0">
        <w:rPr>
          <w:rFonts w:ascii="Verdana" w:hAnsi="Verdana"/>
          <w:sz w:val="20"/>
          <w:szCs w:val="20"/>
          <w:lang w:val="mk-MK"/>
        </w:rPr>
        <w:t>аемна правна помош.</w:t>
      </w:r>
    </w:p>
    <w:sectPr w:rsidR="005269F5" w:rsidRPr="009304F0" w:rsidSect="002511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7D524" w14:textId="77777777" w:rsidR="000B5742" w:rsidRDefault="000B5742" w:rsidP="00DD15A0">
      <w:r>
        <w:separator/>
      </w:r>
    </w:p>
  </w:endnote>
  <w:endnote w:type="continuationSeparator" w:id="0">
    <w:p w14:paraId="3B0F38D9" w14:textId="77777777" w:rsidR="000B5742" w:rsidRDefault="000B5742" w:rsidP="00DD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B6CDD" w14:textId="77777777" w:rsidR="00DD15A0" w:rsidRDefault="00DD15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0CBCA" w14:textId="77777777" w:rsidR="00DD15A0" w:rsidRDefault="00DD15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92C85" w14:textId="77777777" w:rsidR="00DD15A0" w:rsidRDefault="00DD1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98E15" w14:textId="77777777" w:rsidR="000B5742" w:rsidRDefault="000B5742" w:rsidP="00DD15A0">
      <w:r>
        <w:separator/>
      </w:r>
    </w:p>
  </w:footnote>
  <w:footnote w:type="continuationSeparator" w:id="0">
    <w:p w14:paraId="02E82538" w14:textId="77777777" w:rsidR="000B5742" w:rsidRDefault="000B5742" w:rsidP="00DD1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00789" w14:textId="77777777" w:rsidR="00DD15A0" w:rsidRDefault="00DD15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77724" w14:textId="77777777" w:rsidR="00DD15A0" w:rsidRDefault="00DD15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ECB6E" w14:textId="77777777" w:rsidR="00DD15A0" w:rsidRDefault="00DD15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61D4D"/>
    <w:multiLevelType w:val="hybridMultilevel"/>
    <w:tmpl w:val="A734EFF2"/>
    <w:lvl w:ilvl="0" w:tplc="A4060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7CC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45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98E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4A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85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2AB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D88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0B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922325"/>
    <w:multiLevelType w:val="hybridMultilevel"/>
    <w:tmpl w:val="F880127C"/>
    <w:lvl w:ilvl="0" w:tplc="9894F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3A4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26F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A28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82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F6A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B84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07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2B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87800BF"/>
    <w:multiLevelType w:val="hybridMultilevel"/>
    <w:tmpl w:val="880A5AAE"/>
    <w:lvl w:ilvl="0" w:tplc="181C2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E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0B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1A1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24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6AA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8C6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24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564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F12598"/>
    <w:multiLevelType w:val="hybridMultilevel"/>
    <w:tmpl w:val="EA985AD4"/>
    <w:lvl w:ilvl="0" w:tplc="DFAC8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BAD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309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32B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CCB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C8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1AC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8E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6A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5521C76"/>
    <w:multiLevelType w:val="hybridMultilevel"/>
    <w:tmpl w:val="26DE9E9A"/>
    <w:lvl w:ilvl="0" w:tplc="1E341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7CE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6A6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C04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0CF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8B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046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76B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6C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0BF"/>
    <w:rsid w:val="000A621D"/>
    <w:rsid w:val="000B5742"/>
    <w:rsid w:val="001F6801"/>
    <w:rsid w:val="00227C59"/>
    <w:rsid w:val="0025115F"/>
    <w:rsid w:val="00447019"/>
    <w:rsid w:val="00520C3D"/>
    <w:rsid w:val="005E742C"/>
    <w:rsid w:val="005F60A2"/>
    <w:rsid w:val="007A5310"/>
    <w:rsid w:val="007A6235"/>
    <w:rsid w:val="00813A4E"/>
    <w:rsid w:val="00871DF4"/>
    <w:rsid w:val="00880F89"/>
    <w:rsid w:val="008A37D1"/>
    <w:rsid w:val="009304F0"/>
    <w:rsid w:val="009B562A"/>
    <w:rsid w:val="00B345EE"/>
    <w:rsid w:val="00B773A3"/>
    <w:rsid w:val="00B81C6C"/>
    <w:rsid w:val="00C20B96"/>
    <w:rsid w:val="00DD15A0"/>
    <w:rsid w:val="00E84066"/>
    <w:rsid w:val="00EF30BF"/>
    <w:rsid w:val="00F96E2F"/>
    <w:rsid w:val="00FA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532D0"/>
  <w15:chartTrackingRefBased/>
  <w15:docId w15:val="{F78A0DE8-7265-3748-A188-3256FFE7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0BF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D15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5A0"/>
  </w:style>
  <w:style w:type="paragraph" w:styleId="Footer">
    <w:name w:val="footer"/>
    <w:basedOn w:val="Normal"/>
    <w:link w:val="FooterChar"/>
    <w:uiPriority w:val="99"/>
    <w:unhideWhenUsed/>
    <w:rsid w:val="00DD15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6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8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7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8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2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4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8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Stam</dc:creator>
  <cp:keywords/>
  <dc:description/>
  <cp:lastModifiedBy>CEAUSU Diana</cp:lastModifiedBy>
  <cp:revision>21</cp:revision>
  <dcterms:created xsi:type="dcterms:W3CDTF">2020-09-19T13:24:00Z</dcterms:created>
  <dcterms:modified xsi:type="dcterms:W3CDTF">2021-05-10T08:27:00Z</dcterms:modified>
</cp:coreProperties>
</file>