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0544A087" w:rsidR="00D82C18" w:rsidRPr="007D69B8" w:rsidRDefault="00D0598A" w:rsidP="007D69B8">
      <w:pPr>
        <w:spacing w:before="120" w:after="120" w:line="260" w:lineRule="atLeast"/>
        <w:rPr>
          <w:rFonts w:ascii="Verdana" w:hAnsi="Verdana"/>
          <w:sz w:val="28"/>
        </w:rPr>
      </w:pPr>
      <w:r w:rsidRPr="007D69B8">
        <w:rPr>
          <w:rFonts w:ascii="Verdana" w:hAnsi="Verdana"/>
          <w:b/>
          <w:bCs/>
          <w:sz w:val="28"/>
          <w:szCs w:val="28"/>
          <w:lang w:val="mk-MK"/>
        </w:rPr>
        <w:t>Лекција 1.4 Преглед на правната основа за меѓународна соработка</w:t>
      </w:r>
    </w:p>
    <w:p w14:paraId="1D0E3DC5" w14:textId="77777777" w:rsidR="00C115FC" w:rsidRPr="007D69B8" w:rsidRDefault="00C115FC" w:rsidP="007D69B8">
      <w:pPr>
        <w:spacing w:before="120" w:after="120" w:line="260" w:lineRule="atLeast"/>
        <w:ind w:left="360"/>
        <w:rPr>
          <w:rFonts w:ascii="Verdana" w:hAnsi="Verdana"/>
        </w:rPr>
      </w:pPr>
    </w:p>
    <w:tbl>
      <w:tblPr>
        <w:tblStyle w:val="TableGrid"/>
        <w:tblW w:w="0" w:type="auto"/>
        <w:tblInd w:w="-147" w:type="dxa"/>
        <w:tblLayout w:type="fixed"/>
        <w:tblLook w:val="04A0" w:firstRow="1" w:lastRow="0" w:firstColumn="1" w:lastColumn="0" w:noHBand="0" w:noVBand="1"/>
      </w:tblPr>
      <w:tblGrid>
        <w:gridCol w:w="1672"/>
        <w:gridCol w:w="5320"/>
        <w:gridCol w:w="2165"/>
      </w:tblGrid>
      <w:tr w:rsidR="00C115FC" w:rsidRPr="007D69B8" w14:paraId="58A3485E" w14:textId="77777777" w:rsidTr="007B0A96">
        <w:trPr>
          <w:trHeight w:val="872"/>
        </w:trPr>
        <w:tc>
          <w:tcPr>
            <w:tcW w:w="6992" w:type="dxa"/>
            <w:gridSpan w:val="2"/>
            <w:shd w:val="clear" w:color="auto" w:fill="DEEAF6" w:themeFill="accent5" w:themeFillTint="33"/>
            <w:vAlign w:val="center"/>
          </w:tcPr>
          <w:p w14:paraId="0067FF35" w14:textId="34CEFEEF" w:rsidR="00D82C18" w:rsidRPr="007D69B8" w:rsidRDefault="00D0598A" w:rsidP="007D69B8">
            <w:pPr>
              <w:spacing w:before="120" w:after="120" w:line="260" w:lineRule="atLeast"/>
              <w:rPr>
                <w:rFonts w:ascii="Verdana" w:hAnsi="Verdana"/>
                <w:sz w:val="22"/>
                <w:szCs w:val="22"/>
              </w:rPr>
            </w:pPr>
            <w:r w:rsidRPr="007D69B8">
              <w:rPr>
                <w:rFonts w:ascii="Verdana" w:hAnsi="Verdana"/>
                <w:sz w:val="22"/>
                <w:szCs w:val="22"/>
                <w:lang w:val="mk-MK"/>
              </w:rPr>
              <w:t>Лекција 1.4 Преглед на правната основа за меѓународна соработка</w:t>
            </w:r>
          </w:p>
        </w:tc>
        <w:tc>
          <w:tcPr>
            <w:tcW w:w="2165" w:type="dxa"/>
            <w:shd w:val="clear" w:color="auto" w:fill="DEEAF6" w:themeFill="accent5" w:themeFillTint="33"/>
            <w:vAlign w:val="center"/>
          </w:tcPr>
          <w:p w14:paraId="30B631DA" w14:textId="7F241B0A" w:rsidR="00D82C18" w:rsidRPr="007D69B8" w:rsidRDefault="00D0598A" w:rsidP="007D69B8">
            <w:pPr>
              <w:spacing w:before="120" w:after="120" w:line="260" w:lineRule="atLeast"/>
              <w:rPr>
                <w:rFonts w:ascii="Verdana" w:hAnsi="Verdana"/>
                <w:sz w:val="22"/>
                <w:szCs w:val="22"/>
              </w:rPr>
            </w:pPr>
            <w:r w:rsidRPr="007D69B8">
              <w:rPr>
                <w:rFonts w:ascii="Verdana" w:hAnsi="Verdana"/>
                <w:sz w:val="22"/>
                <w:szCs w:val="22"/>
                <w:lang w:val="mk-MK"/>
              </w:rPr>
              <w:t>Времетраење:</w:t>
            </w:r>
            <w:r w:rsidR="00D82C18" w:rsidRPr="007D69B8">
              <w:rPr>
                <w:rFonts w:ascii="Verdana" w:hAnsi="Verdana"/>
                <w:sz w:val="22"/>
                <w:szCs w:val="22"/>
              </w:rPr>
              <w:t xml:space="preserve"> </w:t>
            </w:r>
            <w:r w:rsidRPr="007D69B8">
              <w:rPr>
                <w:rFonts w:ascii="Verdana" w:hAnsi="Verdana"/>
                <w:color w:val="000000" w:themeColor="text1"/>
                <w:sz w:val="22"/>
                <w:szCs w:val="22"/>
                <w:lang w:val="mk-MK"/>
              </w:rPr>
              <w:t>90 минути</w:t>
            </w:r>
            <w:r w:rsidR="00E13BE7" w:rsidRPr="007D69B8">
              <w:rPr>
                <w:rFonts w:ascii="Verdana" w:hAnsi="Verdana"/>
                <w:color w:val="000000" w:themeColor="text1"/>
                <w:sz w:val="22"/>
                <w:szCs w:val="22"/>
              </w:rPr>
              <w:t xml:space="preserve"> </w:t>
            </w:r>
          </w:p>
        </w:tc>
      </w:tr>
      <w:tr w:rsidR="00E7344B" w:rsidRPr="007D69B8" w14:paraId="7C1107AB" w14:textId="77777777" w:rsidTr="007B0A96">
        <w:trPr>
          <w:trHeight w:val="1727"/>
        </w:trPr>
        <w:tc>
          <w:tcPr>
            <w:tcW w:w="9157" w:type="dxa"/>
            <w:gridSpan w:val="3"/>
            <w:vAlign w:val="center"/>
          </w:tcPr>
          <w:p w14:paraId="0B1C3404" w14:textId="272E4206" w:rsidR="00E7344B" w:rsidRPr="007D69B8" w:rsidRDefault="00D0598A" w:rsidP="007D69B8">
            <w:pPr>
              <w:spacing w:before="120" w:after="120" w:line="260" w:lineRule="atLeast"/>
              <w:rPr>
                <w:rFonts w:ascii="Verdana" w:hAnsi="Verdana"/>
                <w:b/>
                <w:sz w:val="22"/>
                <w:szCs w:val="22"/>
              </w:rPr>
            </w:pPr>
            <w:r w:rsidRPr="007D69B8">
              <w:rPr>
                <w:rFonts w:ascii="Verdana" w:hAnsi="Verdana"/>
                <w:b/>
                <w:sz w:val="22"/>
                <w:szCs w:val="22"/>
                <w:lang w:val="mk-MK"/>
              </w:rPr>
              <w:t>Потребни средства:</w:t>
            </w:r>
            <w:r w:rsidR="00E13BE7" w:rsidRPr="007D69B8">
              <w:rPr>
                <w:rFonts w:ascii="Verdana" w:hAnsi="Verdana"/>
                <w:b/>
                <w:sz w:val="22"/>
                <w:szCs w:val="22"/>
              </w:rPr>
              <w:t xml:space="preserve"> </w:t>
            </w:r>
          </w:p>
          <w:p w14:paraId="0CE2B632" w14:textId="075668A1" w:rsidR="00334BD0" w:rsidRPr="007D69B8" w:rsidRDefault="00D0598A" w:rsidP="007D69B8">
            <w:pPr>
              <w:pStyle w:val="bul1"/>
              <w:numPr>
                <w:ilvl w:val="0"/>
                <w:numId w:val="6"/>
              </w:numPr>
              <w:spacing w:before="120" w:after="120" w:line="260" w:lineRule="atLeast"/>
              <w:rPr>
                <w:lang w:val="en-GB"/>
              </w:rPr>
            </w:pPr>
            <w:r w:rsidRPr="007D69B8">
              <w:rPr>
                <w:lang w:val="mk-MK"/>
              </w:rPr>
              <w:t>Персонален компјутер/</w:t>
            </w:r>
            <w:r w:rsidR="00DF3AD6" w:rsidRPr="007D69B8">
              <w:rPr>
                <w:lang w:val="mk-MK"/>
              </w:rPr>
              <w:t>л</w:t>
            </w:r>
            <w:r w:rsidRPr="007D69B8">
              <w:rPr>
                <w:lang w:val="mk-MK"/>
              </w:rPr>
              <w:t>аптоп опремен со софтверски верзии компатибилни со подготвените материјали</w:t>
            </w:r>
            <w:r w:rsidR="00334BD0" w:rsidRPr="007D69B8">
              <w:rPr>
                <w:lang w:val="en-GB"/>
              </w:rPr>
              <w:t xml:space="preserve"> </w:t>
            </w:r>
          </w:p>
          <w:p w14:paraId="707460B9" w14:textId="2005B599" w:rsidR="00334BD0" w:rsidRPr="007D69B8" w:rsidRDefault="00D0598A" w:rsidP="007D69B8">
            <w:pPr>
              <w:pStyle w:val="bul1"/>
              <w:numPr>
                <w:ilvl w:val="0"/>
                <w:numId w:val="6"/>
              </w:numPr>
              <w:spacing w:before="120" w:after="120" w:line="260" w:lineRule="atLeast"/>
              <w:rPr>
                <w:lang w:val="en-GB"/>
              </w:rPr>
            </w:pPr>
            <w:r w:rsidRPr="007D69B8">
              <w:rPr>
                <w:lang w:val="mk-MK"/>
              </w:rPr>
              <w:t>Интернет пристап (доколку е достапен)</w:t>
            </w:r>
            <w:r w:rsidR="00334BD0" w:rsidRPr="007D69B8">
              <w:rPr>
                <w:lang w:val="en-GB"/>
              </w:rPr>
              <w:t xml:space="preserve"> </w:t>
            </w:r>
          </w:p>
          <w:p w14:paraId="3BAF7AC4" w14:textId="1614631C" w:rsidR="00334BD0" w:rsidRPr="007D69B8" w:rsidRDefault="00D0598A" w:rsidP="007D69B8">
            <w:pPr>
              <w:pStyle w:val="bul1"/>
              <w:numPr>
                <w:ilvl w:val="0"/>
                <w:numId w:val="6"/>
              </w:numPr>
              <w:spacing w:before="120" w:after="120" w:line="260" w:lineRule="atLeast"/>
              <w:rPr>
                <w:lang w:val="en-GB"/>
              </w:rPr>
            </w:pPr>
            <w:r w:rsidRPr="007D69B8">
              <w:rPr>
                <w:lang w:val="mk-MK"/>
              </w:rPr>
              <w:t>PowerPoint или друг софтвер за презентации</w:t>
            </w:r>
          </w:p>
          <w:p w14:paraId="14CF9EF0" w14:textId="272AE950" w:rsidR="000F7896" w:rsidRPr="007D69B8" w:rsidRDefault="00D0598A" w:rsidP="007D69B8">
            <w:pPr>
              <w:pStyle w:val="bul1"/>
              <w:numPr>
                <w:ilvl w:val="0"/>
                <w:numId w:val="6"/>
              </w:numPr>
              <w:spacing w:before="120" w:after="120" w:line="260" w:lineRule="atLeast"/>
              <w:rPr>
                <w:lang w:val="en-US"/>
              </w:rPr>
            </w:pPr>
            <w:r w:rsidRPr="007D69B8">
              <w:rPr>
                <w:lang w:val="mk-MK"/>
              </w:rPr>
              <w:t>Копија од Конвенцијата од Будимпешта за учесниците</w:t>
            </w:r>
            <w:r w:rsidR="00C45A81" w:rsidRPr="007D69B8">
              <w:rPr>
                <w:lang w:val="en-GB"/>
              </w:rPr>
              <w:t xml:space="preserve"> </w:t>
            </w:r>
          </w:p>
        </w:tc>
      </w:tr>
      <w:tr w:rsidR="00E7344B" w:rsidRPr="007D69B8" w14:paraId="635F2EFD" w14:textId="77777777" w:rsidTr="007B0A96">
        <w:trPr>
          <w:trHeight w:val="1284"/>
        </w:trPr>
        <w:tc>
          <w:tcPr>
            <w:tcW w:w="9157" w:type="dxa"/>
            <w:gridSpan w:val="3"/>
            <w:vAlign w:val="center"/>
          </w:tcPr>
          <w:p w14:paraId="34602AF3" w14:textId="3445681F" w:rsidR="00A03CF0" w:rsidRPr="007D69B8" w:rsidRDefault="00D0598A" w:rsidP="007D69B8">
            <w:pPr>
              <w:spacing w:before="120" w:after="120" w:line="260" w:lineRule="atLeast"/>
              <w:rPr>
                <w:rFonts w:ascii="Verdana" w:hAnsi="Verdana"/>
                <w:b/>
                <w:sz w:val="22"/>
                <w:szCs w:val="22"/>
              </w:rPr>
            </w:pPr>
            <w:r w:rsidRPr="007D69B8">
              <w:rPr>
                <w:rFonts w:ascii="Verdana" w:hAnsi="Verdana"/>
                <w:b/>
                <w:sz w:val="22"/>
                <w:szCs w:val="22"/>
                <w:lang w:val="mk-MK"/>
              </w:rPr>
              <w:t>Цел на сесијата:</w:t>
            </w:r>
            <w:r w:rsidR="00A03CF0" w:rsidRPr="007D69B8">
              <w:rPr>
                <w:rFonts w:ascii="Verdana" w:hAnsi="Verdana"/>
                <w:b/>
                <w:sz w:val="22"/>
                <w:szCs w:val="22"/>
              </w:rPr>
              <w:t xml:space="preserve">  </w:t>
            </w:r>
          </w:p>
          <w:p w14:paraId="3FE58655" w14:textId="3AE7ED30" w:rsidR="00A03CF0" w:rsidRPr="007D69B8" w:rsidRDefault="00D0598A" w:rsidP="007D69B8">
            <w:pPr>
              <w:spacing w:before="120" w:after="120" w:line="260" w:lineRule="atLeast"/>
              <w:jc w:val="both"/>
              <w:rPr>
                <w:rFonts w:ascii="Verdana" w:hAnsi="Verdana"/>
                <w:i/>
                <w:sz w:val="18"/>
                <w:szCs w:val="18"/>
              </w:rPr>
            </w:pPr>
            <w:r w:rsidRPr="007D69B8">
              <w:rPr>
                <w:rFonts w:ascii="Verdana" w:hAnsi="Verdana" w:cs="Arial"/>
                <w:iCs/>
                <w:sz w:val="18"/>
                <w:szCs w:val="18"/>
                <w:lang w:val="mk-MK"/>
              </w:rPr>
              <w:t>Оваа сесија има за цел да обезбеди потсетување за тоа што е сајбер-криминал и</w:t>
            </w:r>
            <w:r w:rsidR="00DF3AD6" w:rsidRPr="007D69B8">
              <w:rPr>
                <w:rFonts w:ascii="Verdana" w:hAnsi="Verdana" w:cs="Arial"/>
                <w:iCs/>
                <w:sz w:val="18"/>
                <w:szCs w:val="18"/>
                <w:lang w:val="mk-MK"/>
              </w:rPr>
              <w:t xml:space="preserve"> кои се</w:t>
            </w:r>
            <w:r w:rsidRPr="007D69B8">
              <w:rPr>
                <w:rFonts w:ascii="Verdana" w:hAnsi="Verdana" w:cs="Arial"/>
                <w:iCs/>
                <w:sz w:val="18"/>
                <w:szCs w:val="18"/>
                <w:lang w:val="mk-MK"/>
              </w:rPr>
              <w:t xml:space="preserve"> одредбите од материјалното и процесното право од Конвенцијата од Будимпешта, различните правни рамки што овозможуваат меѓународна соработка, преглед на Конвенцијата од Будимпешта и нејзините одредби за меѓународна соработка и преглед на Вториот дополнителен протокол на Конвенцијата од Будимпешта.</w:t>
            </w:r>
          </w:p>
        </w:tc>
      </w:tr>
      <w:tr w:rsidR="00A03CF0" w:rsidRPr="007D69B8" w14:paraId="1B5A80A7" w14:textId="77777777" w:rsidTr="007B0A96">
        <w:trPr>
          <w:trHeight w:val="983"/>
        </w:trPr>
        <w:tc>
          <w:tcPr>
            <w:tcW w:w="9157" w:type="dxa"/>
            <w:gridSpan w:val="3"/>
            <w:vAlign w:val="center"/>
          </w:tcPr>
          <w:p w14:paraId="559A7E05" w14:textId="68982D1C" w:rsidR="00A03CF0" w:rsidRPr="007D69B8" w:rsidRDefault="00D0598A" w:rsidP="007D69B8">
            <w:pPr>
              <w:spacing w:before="120" w:after="120" w:line="260" w:lineRule="atLeast"/>
              <w:rPr>
                <w:rFonts w:ascii="Verdana" w:hAnsi="Verdana"/>
                <w:b/>
                <w:sz w:val="18"/>
                <w:szCs w:val="18"/>
              </w:rPr>
            </w:pPr>
            <w:r w:rsidRPr="007D69B8">
              <w:rPr>
                <w:rFonts w:ascii="Verdana" w:hAnsi="Verdana"/>
                <w:b/>
                <w:sz w:val="18"/>
                <w:szCs w:val="18"/>
                <w:lang w:val="mk-MK"/>
              </w:rPr>
              <w:t>Цели:</w:t>
            </w:r>
          </w:p>
          <w:p w14:paraId="7552C5F6" w14:textId="4169D1B6" w:rsidR="000F7896" w:rsidRPr="007D69B8" w:rsidRDefault="00BF6C7C" w:rsidP="007D69B8">
            <w:pPr>
              <w:tabs>
                <w:tab w:val="left" w:pos="426"/>
                <w:tab w:val="left" w:pos="851"/>
              </w:tabs>
              <w:spacing w:before="120" w:after="120" w:line="260" w:lineRule="atLeast"/>
              <w:rPr>
                <w:rFonts w:ascii="Verdana" w:eastAsia="Times New Roman" w:hAnsi="Verdana" w:cs="Times New Roman"/>
                <w:sz w:val="18"/>
                <w:szCs w:val="18"/>
              </w:rPr>
            </w:pPr>
            <w:r w:rsidRPr="007D69B8">
              <w:rPr>
                <w:rFonts w:ascii="Verdana" w:eastAsia="Times New Roman" w:hAnsi="Verdana" w:cs="Times New Roman"/>
                <w:sz w:val="18"/>
                <w:szCs w:val="18"/>
                <w:lang w:val="mk-MK"/>
              </w:rPr>
              <w:t xml:space="preserve">До крајот на оваа сесија, </w:t>
            </w:r>
            <w:r w:rsidR="00DF3AD6" w:rsidRPr="007D69B8">
              <w:rPr>
                <w:rFonts w:ascii="Verdana" w:eastAsia="Times New Roman" w:hAnsi="Verdana" w:cs="Times New Roman"/>
                <w:sz w:val="18"/>
                <w:szCs w:val="18"/>
                <w:lang w:val="mk-MK"/>
              </w:rPr>
              <w:t>претставници</w:t>
            </w:r>
            <w:r w:rsidRPr="007D69B8">
              <w:rPr>
                <w:rFonts w:ascii="Verdana" w:eastAsia="Times New Roman" w:hAnsi="Verdana" w:cs="Times New Roman"/>
                <w:sz w:val="18"/>
                <w:szCs w:val="18"/>
                <w:lang w:val="mk-MK"/>
              </w:rPr>
              <w:t>те ќе можат да:</w:t>
            </w:r>
          </w:p>
          <w:p w14:paraId="4A730E74" w14:textId="046A4DE0" w:rsidR="00C45A81" w:rsidRPr="007D69B8" w:rsidRDefault="00BF6C7C" w:rsidP="007D69B8">
            <w:pPr>
              <w:pStyle w:val="ListParagraph"/>
              <w:numPr>
                <w:ilvl w:val="0"/>
                <w:numId w:val="11"/>
              </w:numPr>
              <w:tabs>
                <w:tab w:val="left" w:pos="426"/>
                <w:tab w:val="left" w:pos="851"/>
              </w:tabs>
              <w:spacing w:before="120" w:after="120" w:line="260" w:lineRule="atLeast"/>
              <w:contextualSpacing w:val="0"/>
              <w:rPr>
                <w:rFonts w:ascii="Verdana" w:hAnsi="Verdana"/>
                <w:sz w:val="18"/>
                <w:szCs w:val="18"/>
              </w:rPr>
            </w:pPr>
            <w:r w:rsidRPr="007D69B8">
              <w:rPr>
                <w:rFonts w:ascii="Verdana" w:hAnsi="Verdana"/>
                <w:sz w:val="18"/>
                <w:szCs w:val="18"/>
                <w:lang w:val="mk-MK"/>
              </w:rPr>
              <w:t>Ги повторат концептите во врска со сајбер-криминалот и електронските докази и релевантните одредби од Конвенцијата од Будимпешта</w:t>
            </w:r>
          </w:p>
          <w:p w14:paraId="3AFE52CE" w14:textId="7D3A4E8E" w:rsidR="00C45A81" w:rsidRPr="007D69B8" w:rsidRDefault="00BF6C7C" w:rsidP="007D69B8">
            <w:pPr>
              <w:pStyle w:val="ListParagraph"/>
              <w:numPr>
                <w:ilvl w:val="0"/>
                <w:numId w:val="11"/>
              </w:numPr>
              <w:tabs>
                <w:tab w:val="left" w:pos="426"/>
                <w:tab w:val="left" w:pos="851"/>
              </w:tabs>
              <w:spacing w:before="120" w:after="120" w:line="260" w:lineRule="atLeast"/>
              <w:contextualSpacing w:val="0"/>
              <w:rPr>
                <w:rFonts w:ascii="Verdana" w:hAnsi="Verdana"/>
                <w:sz w:val="18"/>
                <w:szCs w:val="18"/>
              </w:rPr>
            </w:pPr>
            <w:r w:rsidRPr="007D69B8">
              <w:rPr>
                <w:rFonts w:ascii="Verdana" w:hAnsi="Verdana"/>
                <w:sz w:val="18"/>
                <w:szCs w:val="18"/>
                <w:lang w:val="mk-MK"/>
              </w:rPr>
              <w:t>Ги разберат различните канали и механизми за формална меѓународна соработка</w:t>
            </w:r>
          </w:p>
          <w:p w14:paraId="4762A48A" w14:textId="40E4A907" w:rsidR="001E7389" w:rsidRPr="007D69B8" w:rsidRDefault="00BF6C7C" w:rsidP="007D69B8">
            <w:pPr>
              <w:pStyle w:val="ListParagraph"/>
              <w:numPr>
                <w:ilvl w:val="0"/>
                <w:numId w:val="11"/>
              </w:numPr>
              <w:tabs>
                <w:tab w:val="left" w:pos="426"/>
                <w:tab w:val="left" w:pos="851"/>
              </w:tabs>
              <w:spacing w:before="120" w:after="120" w:line="260" w:lineRule="atLeast"/>
              <w:contextualSpacing w:val="0"/>
              <w:rPr>
                <w:rFonts w:ascii="Verdana" w:hAnsi="Verdana"/>
                <w:sz w:val="18"/>
                <w:szCs w:val="18"/>
              </w:rPr>
            </w:pPr>
            <w:r w:rsidRPr="007D69B8">
              <w:rPr>
                <w:rFonts w:ascii="Verdana" w:hAnsi="Verdana"/>
                <w:sz w:val="18"/>
                <w:szCs w:val="18"/>
                <w:lang w:val="mk-MK"/>
              </w:rPr>
              <w:t>Го дискутираат прегледот на Конвенцијата од Будимпешта како водечка алатка за соработка во областа на сајбер-криминалот и електронските докази</w:t>
            </w:r>
          </w:p>
          <w:p w14:paraId="2F526474" w14:textId="1F354CBC" w:rsidR="00C45A81" w:rsidRPr="007D69B8" w:rsidRDefault="00BF6C7C" w:rsidP="007D69B8">
            <w:pPr>
              <w:pStyle w:val="ListParagraph"/>
              <w:numPr>
                <w:ilvl w:val="0"/>
                <w:numId w:val="11"/>
              </w:numPr>
              <w:tabs>
                <w:tab w:val="left" w:pos="426"/>
                <w:tab w:val="left" w:pos="851"/>
              </w:tabs>
              <w:spacing w:before="120" w:after="120" w:line="260" w:lineRule="atLeast"/>
              <w:contextualSpacing w:val="0"/>
              <w:rPr>
                <w:rFonts w:ascii="Verdana" w:hAnsi="Verdana"/>
                <w:sz w:val="18"/>
                <w:szCs w:val="18"/>
              </w:rPr>
            </w:pPr>
            <w:r w:rsidRPr="007D69B8">
              <w:rPr>
                <w:rFonts w:ascii="Verdana" w:hAnsi="Verdana"/>
                <w:sz w:val="18"/>
                <w:szCs w:val="18"/>
                <w:lang w:val="mk-MK"/>
              </w:rPr>
              <w:t>Идентификуваат сличности ширум различни канали и механизми за меѓународна соработка</w:t>
            </w:r>
            <w:r w:rsidR="00C45A81" w:rsidRPr="007D69B8">
              <w:rPr>
                <w:rFonts w:ascii="Verdana" w:hAnsi="Verdana"/>
                <w:sz w:val="18"/>
                <w:szCs w:val="18"/>
              </w:rPr>
              <w:t xml:space="preserve"> </w:t>
            </w:r>
          </w:p>
          <w:p w14:paraId="61ABEAC5" w14:textId="5ACD7DF2" w:rsidR="00C45A81" w:rsidRPr="007D69B8" w:rsidRDefault="00BF6C7C" w:rsidP="007D69B8">
            <w:pPr>
              <w:pStyle w:val="ListParagraph"/>
              <w:numPr>
                <w:ilvl w:val="0"/>
                <w:numId w:val="11"/>
              </w:numPr>
              <w:tabs>
                <w:tab w:val="left" w:pos="426"/>
                <w:tab w:val="left" w:pos="851"/>
              </w:tabs>
              <w:spacing w:before="120" w:after="120" w:line="260" w:lineRule="atLeast"/>
              <w:contextualSpacing w:val="0"/>
              <w:rPr>
                <w:rFonts w:ascii="Verdana" w:hAnsi="Verdana"/>
                <w:sz w:val="18"/>
                <w:szCs w:val="18"/>
              </w:rPr>
            </w:pPr>
            <w:r w:rsidRPr="007D69B8">
              <w:rPr>
                <w:rFonts w:ascii="Verdana" w:hAnsi="Verdana"/>
                <w:sz w:val="18"/>
                <w:szCs w:val="18"/>
                <w:lang w:val="mk-MK"/>
              </w:rPr>
              <w:t>Го дискутираат прегледот на Вториот дополнителен протокол како механизам за овозможување на меѓународната соработка</w:t>
            </w:r>
          </w:p>
        </w:tc>
      </w:tr>
      <w:tr w:rsidR="005703B7" w:rsidRPr="007D69B8" w14:paraId="03110757" w14:textId="77777777" w:rsidTr="007B0A96">
        <w:trPr>
          <w:trHeight w:val="58"/>
        </w:trPr>
        <w:tc>
          <w:tcPr>
            <w:tcW w:w="9157" w:type="dxa"/>
            <w:gridSpan w:val="3"/>
            <w:tcBorders>
              <w:bottom w:val="single" w:sz="4" w:space="0" w:color="auto"/>
            </w:tcBorders>
            <w:vAlign w:val="center"/>
          </w:tcPr>
          <w:p w14:paraId="7A064E85" w14:textId="186588DB" w:rsidR="005703B7" w:rsidRPr="007D69B8" w:rsidRDefault="00BF6C7C" w:rsidP="007D69B8">
            <w:pPr>
              <w:spacing w:before="120" w:after="120" w:line="260" w:lineRule="atLeast"/>
              <w:rPr>
                <w:rFonts w:ascii="Verdana" w:hAnsi="Verdana"/>
                <w:b/>
                <w:color w:val="000000" w:themeColor="text1"/>
                <w:sz w:val="22"/>
                <w:szCs w:val="22"/>
              </w:rPr>
            </w:pPr>
            <w:r w:rsidRPr="007D69B8">
              <w:rPr>
                <w:rFonts w:ascii="Verdana" w:hAnsi="Verdana"/>
                <w:b/>
                <w:color w:val="000000" w:themeColor="text1"/>
                <w:sz w:val="22"/>
                <w:szCs w:val="22"/>
                <w:lang w:val="mk-MK"/>
              </w:rPr>
              <w:t>Упатство за обучувачи</w:t>
            </w:r>
          </w:p>
          <w:p w14:paraId="004B8AC3" w14:textId="0D55C5D3" w:rsidR="00C45A81" w:rsidRPr="007D69B8" w:rsidRDefault="00BF6C7C" w:rsidP="007D69B8">
            <w:pPr>
              <w:spacing w:before="120" w:after="120" w:line="260" w:lineRule="atLeast"/>
              <w:jc w:val="both"/>
              <w:rPr>
                <w:rFonts w:ascii="Verdana" w:hAnsi="Verdana"/>
                <w:sz w:val="18"/>
                <w:szCs w:val="18"/>
              </w:rPr>
            </w:pPr>
            <w:r w:rsidRPr="007D69B8">
              <w:rPr>
                <w:rFonts w:ascii="Verdana" w:hAnsi="Verdana"/>
                <w:color w:val="000000" w:themeColor="text1"/>
                <w:sz w:val="18"/>
                <w:szCs w:val="18"/>
                <w:lang w:val="mk-MK"/>
              </w:rPr>
              <w:t>Оваа сесија има за цел да обезбеди основни информации за Конвенцијата од Будимпешта и за меѓународните рамки што овозможуваат меѓународна соработка на учесниците.</w:t>
            </w:r>
            <w:r w:rsidR="00C45A81" w:rsidRPr="007D69B8">
              <w:rPr>
                <w:rFonts w:ascii="Verdana" w:hAnsi="Verdana"/>
                <w:color w:val="000000" w:themeColor="text1"/>
                <w:sz w:val="18"/>
                <w:szCs w:val="18"/>
              </w:rPr>
              <w:t xml:space="preserve"> </w:t>
            </w:r>
            <w:r w:rsidRPr="007D69B8">
              <w:rPr>
                <w:rFonts w:ascii="Verdana" w:hAnsi="Verdana"/>
                <w:color w:val="000000" w:themeColor="text1"/>
                <w:sz w:val="18"/>
                <w:szCs w:val="18"/>
                <w:lang w:val="mk-MK"/>
              </w:rPr>
              <w:t xml:space="preserve">Оваа сесија е подготвена со цел да им обезбеди на </w:t>
            </w:r>
            <w:r w:rsidR="00DF3AD6" w:rsidRPr="007D69B8">
              <w:rPr>
                <w:rFonts w:ascii="Verdana" w:hAnsi="Verdana"/>
                <w:color w:val="000000" w:themeColor="text1"/>
                <w:sz w:val="18"/>
                <w:szCs w:val="18"/>
                <w:lang w:val="mk-MK"/>
              </w:rPr>
              <w:t>претставници</w:t>
            </w:r>
            <w:r w:rsidRPr="007D69B8">
              <w:rPr>
                <w:rFonts w:ascii="Verdana" w:hAnsi="Verdana"/>
                <w:color w:val="000000" w:themeColor="text1"/>
                <w:sz w:val="18"/>
                <w:szCs w:val="18"/>
                <w:lang w:val="mk-MK"/>
              </w:rPr>
              <w:t>те сеопфатно повторување на дефинициите според Поглавје I од Конвенцијата од Будимпешта, одредбите од материјалното право наведени во Поглавје II</w:t>
            </w:r>
            <w:r w:rsidR="007B0A96" w:rsidRPr="007D69B8">
              <w:rPr>
                <w:rFonts w:ascii="Verdana" w:hAnsi="Verdana"/>
                <w:color w:val="000000" w:themeColor="text1"/>
                <w:sz w:val="18"/>
                <w:szCs w:val="18"/>
                <w:lang w:val="mk-MK"/>
              </w:rPr>
              <w:t>,</w:t>
            </w:r>
            <w:r w:rsidRPr="007D69B8">
              <w:rPr>
                <w:rFonts w:ascii="Verdana" w:hAnsi="Verdana"/>
                <w:color w:val="000000" w:themeColor="text1"/>
                <w:sz w:val="18"/>
                <w:szCs w:val="18"/>
                <w:lang w:val="mk-MK"/>
              </w:rPr>
              <w:t xml:space="preserve"> </w:t>
            </w:r>
            <w:r w:rsidR="007B0A96" w:rsidRPr="007D69B8">
              <w:rPr>
                <w:rFonts w:ascii="Verdana" w:hAnsi="Verdana"/>
                <w:color w:val="000000" w:themeColor="text1"/>
                <w:sz w:val="18"/>
                <w:szCs w:val="18"/>
                <w:lang w:val="mk-MK"/>
              </w:rPr>
              <w:t>О</w:t>
            </w:r>
            <w:r w:rsidRPr="007D69B8">
              <w:rPr>
                <w:rFonts w:ascii="Verdana" w:hAnsi="Verdana"/>
                <w:color w:val="000000" w:themeColor="text1"/>
                <w:sz w:val="18"/>
                <w:szCs w:val="18"/>
                <w:lang w:val="mk-MK"/>
              </w:rPr>
              <w:t>ддел 1 од Конвенцијата од Будимпешта и одредбите од процесното право наведени во Поглавје II</w:t>
            </w:r>
            <w:r w:rsidR="007B0A96" w:rsidRPr="007D69B8">
              <w:rPr>
                <w:rFonts w:ascii="Verdana" w:hAnsi="Verdana"/>
                <w:color w:val="000000" w:themeColor="text1"/>
                <w:sz w:val="18"/>
                <w:szCs w:val="18"/>
                <w:lang w:val="mk-MK"/>
              </w:rPr>
              <w:t>, О</w:t>
            </w:r>
            <w:r w:rsidRPr="007D69B8">
              <w:rPr>
                <w:rFonts w:ascii="Verdana" w:hAnsi="Verdana"/>
                <w:color w:val="000000" w:themeColor="text1"/>
                <w:sz w:val="18"/>
                <w:szCs w:val="18"/>
                <w:lang w:val="mk-MK"/>
              </w:rPr>
              <w:t>ддел 2 од Конвенцијата од Будимпешта.</w:t>
            </w:r>
            <w:r w:rsidR="00C45A81" w:rsidRPr="007D69B8">
              <w:rPr>
                <w:rFonts w:ascii="Verdana" w:hAnsi="Verdana"/>
                <w:sz w:val="18"/>
                <w:szCs w:val="18"/>
              </w:rPr>
              <w:t xml:space="preserve"> </w:t>
            </w:r>
            <w:r w:rsidRPr="007D69B8">
              <w:rPr>
                <w:rFonts w:ascii="Verdana" w:hAnsi="Verdana"/>
                <w:sz w:val="18"/>
                <w:szCs w:val="18"/>
                <w:lang w:val="mk-MK"/>
              </w:rPr>
              <w:t>Оваа сесија е поделена на четири дела, покрај вовед</w:t>
            </w:r>
            <w:r w:rsidR="007B0A96" w:rsidRPr="007D69B8">
              <w:rPr>
                <w:rFonts w:ascii="Verdana" w:hAnsi="Verdana"/>
                <w:sz w:val="18"/>
                <w:szCs w:val="18"/>
                <w:lang w:val="mk-MK"/>
              </w:rPr>
              <w:t>от</w:t>
            </w:r>
            <w:r w:rsidRPr="007D69B8">
              <w:rPr>
                <w:rFonts w:ascii="Verdana" w:hAnsi="Verdana"/>
                <w:sz w:val="18"/>
                <w:szCs w:val="18"/>
                <w:lang w:val="mk-MK"/>
              </w:rPr>
              <w:t xml:space="preserve"> и заклучок</w:t>
            </w:r>
            <w:r w:rsidR="007B0A96" w:rsidRPr="007D69B8">
              <w:rPr>
                <w:rFonts w:ascii="Verdana" w:hAnsi="Verdana"/>
                <w:sz w:val="18"/>
                <w:szCs w:val="18"/>
                <w:lang w:val="mk-MK"/>
              </w:rPr>
              <w:t>от</w:t>
            </w:r>
            <w:r w:rsidRPr="007D69B8">
              <w:rPr>
                <w:rFonts w:ascii="Verdana" w:hAnsi="Verdana"/>
                <w:sz w:val="18"/>
                <w:szCs w:val="18"/>
                <w:lang w:val="mk-MK"/>
              </w:rPr>
              <w:t>.</w:t>
            </w:r>
          </w:p>
          <w:p w14:paraId="5EFF4BEF" w14:textId="55AA08F1" w:rsidR="00C45A81" w:rsidRPr="007D69B8" w:rsidRDefault="00BF6C7C" w:rsidP="007D69B8">
            <w:pPr>
              <w:spacing w:before="120" w:after="120" w:line="260" w:lineRule="atLeast"/>
              <w:jc w:val="both"/>
              <w:rPr>
                <w:rFonts w:ascii="Verdana" w:hAnsi="Verdana"/>
                <w:sz w:val="18"/>
                <w:szCs w:val="18"/>
              </w:rPr>
            </w:pPr>
            <w:r w:rsidRPr="007D69B8">
              <w:rPr>
                <w:rFonts w:ascii="Verdana" w:hAnsi="Verdana"/>
                <w:sz w:val="18"/>
                <w:szCs w:val="18"/>
                <w:lang w:val="mk-MK"/>
              </w:rPr>
              <w:t xml:space="preserve">Пред предавањето на оваа сесија, се препорачува обучувачот да ги разгледа ставовите 22 – 231 од Извештајот за објаснување на </w:t>
            </w:r>
            <w:r w:rsidR="007B0A96" w:rsidRPr="007D69B8">
              <w:rPr>
                <w:rFonts w:ascii="Verdana" w:hAnsi="Verdana"/>
                <w:sz w:val="18"/>
                <w:szCs w:val="18"/>
                <w:lang w:val="mk-MK"/>
              </w:rPr>
              <w:t>К</w:t>
            </w:r>
            <w:r w:rsidRPr="007D69B8">
              <w:rPr>
                <w:rFonts w:ascii="Verdana" w:hAnsi="Verdana"/>
                <w:sz w:val="18"/>
                <w:szCs w:val="18"/>
                <w:lang w:val="mk-MK"/>
              </w:rPr>
              <w:t>онвенцијата за сајбер-криминал.</w:t>
            </w:r>
          </w:p>
        </w:tc>
      </w:tr>
      <w:tr w:rsidR="005A4E47" w:rsidRPr="007D69B8" w14:paraId="7760520D" w14:textId="77777777" w:rsidTr="007B0A96">
        <w:trPr>
          <w:trHeight w:val="728"/>
        </w:trPr>
        <w:tc>
          <w:tcPr>
            <w:tcW w:w="9157" w:type="dxa"/>
            <w:gridSpan w:val="3"/>
            <w:tcBorders>
              <w:bottom w:val="single" w:sz="4" w:space="0" w:color="auto"/>
            </w:tcBorders>
            <w:shd w:val="clear" w:color="auto" w:fill="D9E2F3" w:themeFill="accent1" w:themeFillTint="33"/>
            <w:vAlign w:val="center"/>
          </w:tcPr>
          <w:p w14:paraId="3F533D38" w14:textId="05ACC311" w:rsidR="005A4E47" w:rsidRPr="007D69B8" w:rsidRDefault="00BF6C7C" w:rsidP="007D69B8">
            <w:pPr>
              <w:spacing w:before="120" w:after="120" w:line="260" w:lineRule="atLeast"/>
              <w:rPr>
                <w:rFonts w:ascii="Verdana" w:hAnsi="Verdana"/>
                <w:b/>
                <w:sz w:val="28"/>
                <w:szCs w:val="28"/>
              </w:rPr>
            </w:pPr>
            <w:r w:rsidRPr="007D69B8">
              <w:rPr>
                <w:rFonts w:ascii="Verdana" w:hAnsi="Verdana"/>
                <w:b/>
                <w:sz w:val="28"/>
                <w:szCs w:val="28"/>
                <w:lang w:val="mk-MK"/>
              </w:rPr>
              <w:t>Содржина на лекцијата</w:t>
            </w:r>
          </w:p>
        </w:tc>
      </w:tr>
      <w:tr w:rsidR="00F1574D" w:rsidRPr="007D69B8" w14:paraId="57CC7AA4" w14:textId="77777777" w:rsidTr="007B0A96">
        <w:trPr>
          <w:trHeight w:val="629"/>
        </w:trPr>
        <w:tc>
          <w:tcPr>
            <w:tcW w:w="1672" w:type="dxa"/>
            <w:shd w:val="clear" w:color="auto" w:fill="D9E2F3" w:themeFill="accent1" w:themeFillTint="33"/>
            <w:vAlign w:val="center"/>
          </w:tcPr>
          <w:p w14:paraId="4538C338" w14:textId="4FC40591" w:rsidR="00D82C18" w:rsidRPr="007D69B8" w:rsidRDefault="00BF6C7C" w:rsidP="007D69B8">
            <w:pPr>
              <w:spacing w:before="120" w:after="120" w:line="260" w:lineRule="atLeast"/>
              <w:jc w:val="center"/>
              <w:rPr>
                <w:rFonts w:ascii="Verdana" w:hAnsi="Verdana"/>
                <w:b/>
                <w:sz w:val="22"/>
                <w:szCs w:val="22"/>
              </w:rPr>
            </w:pPr>
            <w:r w:rsidRPr="007D69B8">
              <w:rPr>
                <w:rFonts w:ascii="Verdana" w:hAnsi="Verdana"/>
                <w:b/>
                <w:sz w:val="22"/>
                <w:szCs w:val="22"/>
                <w:lang w:val="mk-MK"/>
              </w:rPr>
              <w:lastRenderedPageBreak/>
              <w:t>Број на слајдови</w:t>
            </w:r>
          </w:p>
        </w:tc>
        <w:tc>
          <w:tcPr>
            <w:tcW w:w="7485" w:type="dxa"/>
            <w:gridSpan w:val="2"/>
            <w:shd w:val="clear" w:color="auto" w:fill="D9E2F3" w:themeFill="accent1" w:themeFillTint="33"/>
            <w:vAlign w:val="center"/>
          </w:tcPr>
          <w:p w14:paraId="2DA616FC" w14:textId="2E1673D4" w:rsidR="00D82C18" w:rsidRPr="007D69B8" w:rsidRDefault="00BF6C7C" w:rsidP="007D69B8">
            <w:pPr>
              <w:spacing w:before="120" w:after="120" w:line="260" w:lineRule="atLeast"/>
              <w:rPr>
                <w:rFonts w:ascii="Verdana" w:hAnsi="Verdana"/>
                <w:b/>
                <w:sz w:val="22"/>
                <w:szCs w:val="22"/>
              </w:rPr>
            </w:pPr>
            <w:r w:rsidRPr="007D69B8">
              <w:rPr>
                <w:rFonts w:ascii="Verdana" w:hAnsi="Verdana"/>
                <w:b/>
                <w:sz w:val="22"/>
                <w:szCs w:val="22"/>
                <w:lang w:val="mk-MK"/>
              </w:rPr>
              <w:t>Содржина</w:t>
            </w:r>
          </w:p>
        </w:tc>
      </w:tr>
      <w:tr w:rsidR="00F1574D" w:rsidRPr="007D69B8" w14:paraId="11A12D7E" w14:textId="77777777" w:rsidTr="007B0A96">
        <w:trPr>
          <w:trHeight w:val="591"/>
        </w:trPr>
        <w:tc>
          <w:tcPr>
            <w:tcW w:w="1672" w:type="dxa"/>
            <w:vAlign w:val="center"/>
          </w:tcPr>
          <w:p w14:paraId="67083237" w14:textId="2E6651ED" w:rsidR="00D82C18"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1 до 3</w:t>
            </w:r>
          </w:p>
          <w:p w14:paraId="5A89CF27" w14:textId="2661B6A2" w:rsidR="00F1574D"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Задолжителни слајдови</w:t>
            </w:r>
          </w:p>
        </w:tc>
        <w:tc>
          <w:tcPr>
            <w:tcW w:w="7485" w:type="dxa"/>
            <w:gridSpan w:val="2"/>
            <w:vAlign w:val="center"/>
          </w:tcPr>
          <w:p w14:paraId="36345B59" w14:textId="0DA82DE9" w:rsidR="00556D69" w:rsidRPr="007D69B8" w:rsidRDefault="00BF6C7C" w:rsidP="007D69B8">
            <w:pPr>
              <w:spacing w:before="120" w:after="120" w:line="260" w:lineRule="atLeast"/>
              <w:jc w:val="both"/>
              <w:rPr>
                <w:rFonts w:ascii="Verdana" w:hAnsi="Verdana"/>
                <w:color w:val="000000" w:themeColor="text1"/>
                <w:sz w:val="18"/>
                <w:szCs w:val="18"/>
              </w:rPr>
            </w:pPr>
            <w:r w:rsidRPr="007D69B8">
              <w:rPr>
                <w:rFonts w:ascii="Verdana" w:hAnsi="Verdana"/>
                <w:color w:val="000000" w:themeColor="text1"/>
                <w:sz w:val="18"/>
                <w:szCs w:val="18"/>
                <w:lang w:val="mk-MK"/>
              </w:rPr>
              <w:t>Почетните слајдови се воведот во сесијата и ги содржат дневниот ред и целите на сесијата.</w:t>
            </w:r>
            <w:r w:rsidR="00556D69" w:rsidRPr="007D69B8">
              <w:rPr>
                <w:rFonts w:ascii="Verdana" w:hAnsi="Verdana"/>
                <w:color w:val="000000" w:themeColor="text1"/>
                <w:sz w:val="18"/>
                <w:szCs w:val="18"/>
              </w:rPr>
              <w:t xml:space="preserve"> </w:t>
            </w:r>
          </w:p>
        </w:tc>
      </w:tr>
      <w:tr w:rsidR="00F1574D" w:rsidRPr="007D69B8" w14:paraId="65F07CB5" w14:textId="77777777" w:rsidTr="007B0A96">
        <w:trPr>
          <w:trHeight w:val="1880"/>
        </w:trPr>
        <w:tc>
          <w:tcPr>
            <w:tcW w:w="1672" w:type="dxa"/>
            <w:vAlign w:val="center"/>
          </w:tcPr>
          <w:p w14:paraId="56AF6365" w14:textId="07F5FAF2" w:rsidR="00D82C18"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4 до 7</w:t>
            </w:r>
          </w:p>
          <w:p w14:paraId="6F5AEB2D" w14:textId="02A8CB58" w:rsidR="00F1574D"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Задолжителни слајдови</w:t>
            </w:r>
          </w:p>
        </w:tc>
        <w:tc>
          <w:tcPr>
            <w:tcW w:w="7485" w:type="dxa"/>
            <w:gridSpan w:val="2"/>
            <w:vAlign w:val="center"/>
          </w:tcPr>
          <w:p w14:paraId="649FEA68" w14:textId="1A321A08" w:rsidR="0062475C" w:rsidRPr="007D69B8" w:rsidRDefault="00BF6C7C" w:rsidP="007D69B8">
            <w:pPr>
              <w:pStyle w:val="Subtitle"/>
              <w:spacing w:before="120" w:line="260" w:lineRule="atLeast"/>
              <w:rPr>
                <w:rFonts w:ascii="Verdana" w:eastAsia="Times New Roman" w:hAnsi="Verdana"/>
                <w:szCs w:val="18"/>
              </w:rPr>
            </w:pPr>
            <w:r w:rsidRPr="007D69B8">
              <w:rPr>
                <w:rFonts w:ascii="Verdana" w:eastAsia="Times New Roman" w:hAnsi="Verdana"/>
                <w:szCs w:val="18"/>
                <w:lang w:val="mk-MK"/>
              </w:rPr>
              <w:t>Овие слајдови овозможуваат повторување за тоа што претставува сајбер-криминал.</w:t>
            </w:r>
            <w:r w:rsidR="00C45A81" w:rsidRPr="007D69B8">
              <w:rPr>
                <w:rFonts w:ascii="Verdana" w:eastAsia="Times New Roman" w:hAnsi="Verdana"/>
                <w:szCs w:val="18"/>
              </w:rPr>
              <w:t xml:space="preserve"> </w:t>
            </w:r>
            <w:r w:rsidRPr="007D69B8">
              <w:rPr>
                <w:rFonts w:ascii="Verdana" w:eastAsia="Times New Roman" w:hAnsi="Verdana"/>
                <w:szCs w:val="18"/>
                <w:lang w:val="mk-MK"/>
              </w:rPr>
              <w:t>Клучната порака што обучувачот треба да ја пренесе преку овие слајдови е дека не</w:t>
            </w:r>
            <w:r w:rsidR="007B0A96" w:rsidRPr="007D69B8">
              <w:rPr>
                <w:rFonts w:ascii="Verdana" w:eastAsia="Times New Roman" w:hAnsi="Verdana"/>
                <w:szCs w:val="18"/>
                <w:lang w:val="mk-MK"/>
              </w:rPr>
              <w:t xml:space="preserve"> е</w:t>
            </w:r>
            <w:r w:rsidRPr="007D69B8">
              <w:rPr>
                <w:rFonts w:ascii="Verdana" w:eastAsia="Times New Roman" w:hAnsi="Verdana"/>
                <w:szCs w:val="18"/>
                <w:lang w:val="mk-MK"/>
              </w:rPr>
              <w:t xml:space="preserve"> сè сајбер-криминал.</w:t>
            </w:r>
            <w:r w:rsidR="00C45A81" w:rsidRPr="007D69B8">
              <w:rPr>
                <w:rFonts w:ascii="Verdana" w:eastAsia="Times New Roman" w:hAnsi="Verdana"/>
                <w:szCs w:val="18"/>
              </w:rPr>
              <w:t xml:space="preserve"> </w:t>
            </w:r>
            <w:r w:rsidRPr="007D69B8">
              <w:rPr>
                <w:rFonts w:ascii="Verdana" w:eastAsia="Times New Roman" w:hAnsi="Verdana"/>
                <w:szCs w:val="18"/>
                <w:lang w:val="mk-MK"/>
              </w:rPr>
              <w:t xml:space="preserve">Обучувачот може да земе примери за разни традиционални кривични дела (на пример, убиство, кражба, итн.) и да ги праша учесниците дали самото вклучување на компјутерски систем или компјутерски податоци при извршување на </w:t>
            </w:r>
            <w:r w:rsidR="007B0A96" w:rsidRPr="007D69B8">
              <w:rPr>
                <w:rFonts w:ascii="Verdana" w:eastAsia="Times New Roman" w:hAnsi="Verdana"/>
                <w:szCs w:val="18"/>
                <w:lang w:val="mk-MK"/>
              </w:rPr>
              <w:t>делото</w:t>
            </w:r>
            <w:r w:rsidRPr="007D69B8">
              <w:rPr>
                <w:rFonts w:ascii="Verdana" w:eastAsia="Times New Roman" w:hAnsi="Verdana"/>
                <w:szCs w:val="18"/>
                <w:lang w:val="mk-MK"/>
              </w:rPr>
              <w:t xml:space="preserve"> го прави тоа сајбер-криминал.</w:t>
            </w:r>
          </w:p>
        </w:tc>
      </w:tr>
      <w:tr w:rsidR="00F1574D" w:rsidRPr="007D69B8" w14:paraId="15587DD6" w14:textId="77777777" w:rsidTr="007B0A96">
        <w:trPr>
          <w:trHeight w:val="1916"/>
        </w:trPr>
        <w:tc>
          <w:tcPr>
            <w:tcW w:w="1672" w:type="dxa"/>
            <w:vAlign w:val="center"/>
          </w:tcPr>
          <w:p w14:paraId="5EBB803A" w14:textId="23704D4E" w:rsidR="00556D69"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8 до 16</w:t>
            </w:r>
          </w:p>
          <w:p w14:paraId="65C32028" w14:textId="26527E75" w:rsidR="00F1574D"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Задолжителни слајдови</w:t>
            </w:r>
          </w:p>
        </w:tc>
        <w:tc>
          <w:tcPr>
            <w:tcW w:w="7485" w:type="dxa"/>
            <w:gridSpan w:val="2"/>
            <w:vAlign w:val="center"/>
          </w:tcPr>
          <w:p w14:paraId="09B58FC0" w14:textId="6100C64B" w:rsidR="00637AFB" w:rsidRPr="007D69B8" w:rsidRDefault="00BF6C7C" w:rsidP="007D69B8">
            <w:pPr>
              <w:spacing w:before="120" w:after="120" w:line="260" w:lineRule="atLeast"/>
              <w:jc w:val="both"/>
              <w:rPr>
                <w:rFonts w:ascii="Verdana" w:hAnsi="Verdana"/>
                <w:sz w:val="18"/>
                <w:szCs w:val="18"/>
              </w:rPr>
            </w:pPr>
            <w:r w:rsidRPr="007D69B8">
              <w:rPr>
                <w:rFonts w:ascii="Verdana" w:hAnsi="Verdana"/>
                <w:sz w:val="18"/>
                <w:szCs w:val="18"/>
                <w:lang w:val="mk-MK"/>
              </w:rPr>
              <w:t xml:space="preserve">Овие слајдови овозможуваат повторување на дефинициите од член 1 од Конвенцијата од Будимпешта (компјутерски систем, компјутерски податоци, давател на услуги и </w:t>
            </w:r>
            <w:r w:rsidR="007B0A96" w:rsidRPr="007D69B8">
              <w:rPr>
                <w:rFonts w:ascii="Verdana" w:hAnsi="Verdana"/>
                <w:sz w:val="18"/>
                <w:szCs w:val="18"/>
                <w:lang w:val="mk-MK"/>
              </w:rPr>
              <w:t>податочен сообраќај</w:t>
            </w:r>
            <w:r w:rsidRPr="007D69B8">
              <w:rPr>
                <w:rFonts w:ascii="Verdana" w:hAnsi="Verdana"/>
                <w:sz w:val="18"/>
                <w:szCs w:val="18"/>
                <w:lang w:val="mk-MK"/>
              </w:rPr>
              <w:t>).</w:t>
            </w:r>
            <w:r w:rsidR="00CE67EA" w:rsidRPr="007D69B8">
              <w:rPr>
                <w:rFonts w:ascii="Verdana" w:hAnsi="Verdana"/>
                <w:sz w:val="18"/>
                <w:szCs w:val="18"/>
              </w:rPr>
              <w:t xml:space="preserve"> </w:t>
            </w:r>
            <w:r w:rsidRPr="007D69B8">
              <w:rPr>
                <w:rFonts w:ascii="Verdana" w:hAnsi="Verdana"/>
                <w:sz w:val="18"/>
                <w:szCs w:val="18"/>
                <w:lang w:val="mk-MK"/>
              </w:rPr>
              <w:t xml:space="preserve">Овој дел исто така </w:t>
            </w:r>
            <w:r w:rsidR="00F342D3" w:rsidRPr="007D69B8">
              <w:rPr>
                <w:rFonts w:ascii="Verdana" w:hAnsi="Verdana"/>
                <w:sz w:val="18"/>
                <w:szCs w:val="18"/>
                <w:lang w:val="mk-MK"/>
              </w:rPr>
              <w:t>содржи</w:t>
            </w:r>
            <w:r w:rsidRPr="007D69B8">
              <w:rPr>
                <w:rFonts w:ascii="Verdana" w:hAnsi="Verdana"/>
                <w:sz w:val="18"/>
                <w:szCs w:val="18"/>
                <w:lang w:val="mk-MK"/>
              </w:rPr>
              <w:t xml:space="preserve"> и две анкетни прашања, што обучувачот може да ги искористи за да го процени нивото на знаење на учесниците.</w:t>
            </w:r>
            <w:r w:rsidR="00CE67EA" w:rsidRPr="007D69B8">
              <w:rPr>
                <w:rFonts w:ascii="Verdana" w:hAnsi="Verdana"/>
                <w:sz w:val="18"/>
                <w:szCs w:val="18"/>
              </w:rPr>
              <w:t xml:space="preserve"> </w:t>
            </w:r>
          </w:p>
        </w:tc>
      </w:tr>
      <w:tr w:rsidR="00F1574D" w:rsidRPr="007D69B8" w14:paraId="4F010995" w14:textId="77777777" w:rsidTr="007B0A96">
        <w:trPr>
          <w:trHeight w:val="791"/>
        </w:trPr>
        <w:tc>
          <w:tcPr>
            <w:tcW w:w="1672" w:type="dxa"/>
            <w:vAlign w:val="center"/>
          </w:tcPr>
          <w:p w14:paraId="0EC3C0F5" w14:textId="769436B4" w:rsidR="00C70C5C"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17 до 86</w:t>
            </w:r>
          </w:p>
          <w:p w14:paraId="48504862" w14:textId="2F038144" w:rsidR="00334BD0"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Задолжителни слајдови</w:t>
            </w:r>
          </w:p>
        </w:tc>
        <w:tc>
          <w:tcPr>
            <w:tcW w:w="7485" w:type="dxa"/>
            <w:gridSpan w:val="2"/>
            <w:vAlign w:val="center"/>
          </w:tcPr>
          <w:p w14:paraId="2BC3D32F" w14:textId="589C670F" w:rsidR="00CB708C" w:rsidRPr="007D69B8" w:rsidRDefault="00BF6C7C" w:rsidP="007D69B8">
            <w:pPr>
              <w:spacing w:before="120" w:after="120" w:line="260" w:lineRule="atLeast"/>
              <w:jc w:val="both"/>
              <w:rPr>
                <w:rFonts w:ascii="Verdana" w:hAnsi="Verdana"/>
                <w:sz w:val="18"/>
                <w:szCs w:val="18"/>
              </w:rPr>
            </w:pPr>
            <w:r w:rsidRPr="007D69B8">
              <w:rPr>
                <w:rFonts w:ascii="Verdana" w:hAnsi="Verdana"/>
                <w:sz w:val="18"/>
                <w:szCs w:val="18"/>
                <w:lang w:val="mk-MK"/>
              </w:rPr>
              <w:t>Овие слајдови овозможуваат повторување на одредбите од материјалното право од член 2 до член 12 од Конвенцијата од Будимпешта (</w:t>
            </w:r>
            <w:r w:rsidR="007B0A96" w:rsidRPr="007D69B8">
              <w:rPr>
                <w:rFonts w:ascii="Verdana" w:hAnsi="Verdana"/>
                <w:sz w:val="18"/>
                <w:szCs w:val="18"/>
                <w:lang w:val="mk-MK"/>
              </w:rPr>
              <w:t>илегален</w:t>
            </w:r>
            <w:r w:rsidRPr="007D69B8">
              <w:rPr>
                <w:rFonts w:ascii="Verdana" w:hAnsi="Verdana"/>
                <w:sz w:val="18"/>
                <w:szCs w:val="18"/>
                <w:lang w:val="mk-MK"/>
              </w:rPr>
              <w:t xml:space="preserve"> пристап, </w:t>
            </w:r>
            <w:r w:rsidR="007B0A96" w:rsidRPr="007D69B8">
              <w:rPr>
                <w:rFonts w:ascii="Verdana" w:hAnsi="Verdana"/>
                <w:sz w:val="18"/>
                <w:szCs w:val="18"/>
                <w:lang w:val="mk-MK"/>
              </w:rPr>
              <w:t>и</w:t>
            </w:r>
            <w:r w:rsidRPr="007D69B8">
              <w:rPr>
                <w:rFonts w:ascii="Verdana" w:hAnsi="Verdana"/>
                <w:sz w:val="18"/>
                <w:szCs w:val="18"/>
                <w:lang w:val="mk-MK"/>
              </w:rPr>
              <w:t>легално</w:t>
            </w:r>
            <w:r w:rsidR="007B0A96" w:rsidRPr="007D69B8">
              <w:rPr>
                <w:rFonts w:ascii="Verdana" w:hAnsi="Verdana"/>
                <w:sz w:val="18"/>
                <w:szCs w:val="18"/>
                <w:lang w:val="mk-MK"/>
              </w:rPr>
              <w:t xml:space="preserve"> следе</w:t>
            </w:r>
            <w:r w:rsidRPr="007D69B8">
              <w:rPr>
                <w:rFonts w:ascii="Verdana" w:hAnsi="Verdana"/>
                <w:sz w:val="18"/>
                <w:szCs w:val="18"/>
                <w:lang w:val="mk-MK"/>
              </w:rPr>
              <w:t xml:space="preserve">ње, </w:t>
            </w:r>
            <w:r w:rsidR="007B0A96" w:rsidRPr="007D69B8">
              <w:rPr>
                <w:rFonts w:ascii="Verdana" w:hAnsi="Verdana"/>
                <w:sz w:val="18"/>
                <w:szCs w:val="18"/>
                <w:lang w:val="mk-MK"/>
              </w:rPr>
              <w:t>манипулација со</w:t>
            </w:r>
            <w:r w:rsidRPr="007D69B8">
              <w:rPr>
                <w:rFonts w:ascii="Verdana" w:hAnsi="Verdana"/>
                <w:sz w:val="18"/>
                <w:szCs w:val="18"/>
                <w:lang w:val="mk-MK"/>
              </w:rPr>
              <w:t xml:space="preserve"> податоци</w:t>
            </w:r>
            <w:r w:rsidR="007B0A96" w:rsidRPr="007D69B8">
              <w:rPr>
                <w:rFonts w:ascii="Verdana" w:hAnsi="Verdana"/>
                <w:sz w:val="18"/>
                <w:szCs w:val="18"/>
                <w:lang w:val="mk-MK"/>
              </w:rPr>
              <w:t>те</w:t>
            </w:r>
            <w:r w:rsidRPr="007D69B8">
              <w:rPr>
                <w:rFonts w:ascii="Verdana" w:hAnsi="Verdana"/>
                <w:sz w:val="18"/>
                <w:szCs w:val="18"/>
                <w:lang w:val="mk-MK"/>
              </w:rPr>
              <w:t>, попречување на</w:t>
            </w:r>
            <w:r w:rsidR="007B0A96" w:rsidRPr="007D69B8">
              <w:rPr>
                <w:rFonts w:ascii="Verdana" w:hAnsi="Verdana"/>
                <w:sz w:val="18"/>
                <w:szCs w:val="18"/>
                <w:lang w:val="mk-MK"/>
              </w:rPr>
              <w:t xml:space="preserve"> работата на</w:t>
            </w:r>
            <w:r w:rsidRPr="007D69B8">
              <w:rPr>
                <w:rFonts w:ascii="Verdana" w:hAnsi="Verdana"/>
                <w:sz w:val="18"/>
                <w:szCs w:val="18"/>
                <w:lang w:val="mk-MK"/>
              </w:rPr>
              <w:t xml:space="preserve"> системи</w:t>
            </w:r>
            <w:r w:rsidR="007B0A96" w:rsidRPr="007D69B8">
              <w:rPr>
                <w:rFonts w:ascii="Verdana" w:hAnsi="Verdana"/>
                <w:sz w:val="18"/>
                <w:szCs w:val="18"/>
                <w:lang w:val="mk-MK"/>
              </w:rPr>
              <w:t>те</w:t>
            </w:r>
            <w:r w:rsidRPr="007D69B8">
              <w:rPr>
                <w:rFonts w:ascii="Verdana" w:hAnsi="Verdana"/>
                <w:sz w:val="18"/>
                <w:szCs w:val="18"/>
                <w:lang w:val="mk-MK"/>
              </w:rPr>
              <w:t xml:space="preserve">, злоупотреба на уреди, фалсификати поврзани со компјутери, измама поврзана со компјутери, детска порнографија, </w:t>
            </w:r>
            <w:r w:rsidR="007B0A96" w:rsidRPr="007D69B8">
              <w:rPr>
                <w:rFonts w:ascii="Verdana" w:hAnsi="Verdana"/>
                <w:sz w:val="18"/>
                <w:szCs w:val="18"/>
                <w:lang w:val="mk-MK"/>
              </w:rPr>
              <w:t xml:space="preserve">кривични дела </w:t>
            </w:r>
            <w:r w:rsidRPr="007D69B8">
              <w:rPr>
                <w:rFonts w:ascii="Verdana" w:hAnsi="Verdana"/>
                <w:sz w:val="18"/>
                <w:szCs w:val="18"/>
                <w:lang w:val="mk-MK"/>
              </w:rPr>
              <w:t xml:space="preserve">поврзани со </w:t>
            </w:r>
            <w:r w:rsidR="007B0A96" w:rsidRPr="007D69B8">
              <w:rPr>
                <w:rFonts w:ascii="Verdana" w:hAnsi="Verdana"/>
                <w:sz w:val="18"/>
                <w:szCs w:val="18"/>
                <w:lang w:val="mk-MK"/>
              </w:rPr>
              <w:t>повреда</w:t>
            </w:r>
            <w:r w:rsidRPr="007D69B8">
              <w:rPr>
                <w:rFonts w:ascii="Verdana" w:hAnsi="Verdana"/>
                <w:sz w:val="18"/>
                <w:szCs w:val="18"/>
                <w:lang w:val="mk-MK"/>
              </w:rPr>
              <w:t xml:space="preserve"> на авторско право и </w:t>
            </w:r>
            <w:r w:rsidR="007B0A96" w:rsidRPr="007D69B8">
              <w:rPr>
                <w:rFonts w:ascii="Verdana" w:hAnsi="Verdana"/>
                <w:sz w:val="18"/>
                <w:szCs w:val="18"/>
                <w:lang w:val="mk-MK"/>
              </w:rPr>
              <w:t xml:space="preserve">сродните </w:t>
            </w:r>
            <w:r w:rsidRPr="007D69B8">
              <w:rPr>
                <w:rFonts w:ascii="Verdana" w:hAnsi="Verdana"/>
                <w:sz w:val="18"/>
                <w:szCs w:val="18"/>
                <w:lang w:val="mk-MK"/>
              </w:rPr>
              <w:t>права, обид и помагање во извршување на кривично дело, корпоративна одговорност).</w:t>
            </w:r>
            <w:r w:rsidR="00CE67EA" w:rsidRPr="007D69B8">
              <w:rPr>
                <w:rFonts w:ascii="Verdana" w:hAnsi="Verdana"/>
                <w:sz w:val="18"/>
                <w:szCs w:val="18"/>
              </w:rPr>
              <w:t xml:space="preserve"> </w:t>
            </w:r>
            <w:r w:rsidRPr="007D69B8">
              <w:rPr>
                <w:rFonts w:ascii="Verdana" w:hAnsi="Verdana"/>
                <w:sz w:val="18"/>
                <w:szCs w:val="18"/>
                <w:lang w:val="mk-MK"/>
              </w:rPr>
              <w:t xml:space="preserve">Овој дел исто така </w:t>
            </w:r>
            <w:r w:rsidR="00F342D3" w:rsidRPr="007D69B8">
              <w:rPr>
                <w:rFonts w:ascii="Verdana" w:hAnsi="Verdana"/>
                <w:sz w:val="18"/>
                <w:szCs w:val="18"/>
                <w:lang w:val="mk-MK"/>
              </w:rPr>
              <w:t>содржи</w:t>
            </w:r>
            <w:r w:rsidRPr="007D69B8">
              <w:rPr>
                <w:rFonts w:ascii="Verdana" w:hAnsi="Verdana"/>
                <w:sz w:val="18"/>
                <w:szCs w:val="18"/>
                <w:lang w:val="mk-MK"/>
              </w:rPr>
              <w:t xml:space="preserve"> и неколку анкетни прашања, што обучувачот може да ги искористи за да го процени нивото на знаење на учесниците.</w:t>
            </w:r>
            <w:r w:rsidR="00CE67EA" w:rsidRPr="007D69B8">
              <w:rPr>
                <w:rFonts w:ascii="Verdana" w:hAnsi="Verdana"/>
                <w:sz w:val="18"/>
                <w:szCs w:val="18"/>
              </w:rPr>
              <w:t xml:space="preserve"> </w:t>
            </w:r>
          </w:p>
          <w:p w14:paraId="4AF5B3D7" w14:textId="43E8A83C" w:rsidR="0095051C" w:rsidRPr="007D69B8" w:rsidRDefault="00BF6C7C" w:rsidP="007D69B8">
            <w:pPr>
              <w:pStyle w:val="Subtitle"/>
              <w:spacing w:before="120" w:line="260" w:lineRule="atLeast"/>
              <w:rPr>
                <w:rFonts w:ascii="Verdana" w:eastAsia="Times New Roman" w:hAnsi="Verdana"/>
                <w:iCs w:val="0"/>
              </w:rPr>
            </w:pPr>
            <w:r w:rsidRPr="007D69B8">
              <w:rPr>
                <w:rFonts w:ascii="Verdana" w:eastAsia="Times New Roman" w:hAnsi="Verdana"/>
                <w:lang w:val="mk-MK"/>
              </w:rPr>
              <w:t xml:space="preserve">Првиот дел слајдови </w:t>
            </w:r>
            <w:r w:rsidR="007B0A96" w:rsidRPr="007D69B8">
              <w:rPr>
                <w:rFonts w:ascii="Verdana" w:eastAsia="Times New Roman" w:hAnsi="Verdana"/>
                <w:lang w:val="mk-MK"/>
              </w:rPr>
              <w:t>дав</w:t>
            </w:r>
            <w:r w:rsidRPr="007D69B8">
              <w:rPr>
                <w:rFonts w:ascii="Verdana" w:eastAsia="Times New Roman" w:hAnsi="Verdana"/>
                <w:lang w:val="mk-MK"/>
              </w:rPr>
              <w:t>а кратка содржина на главните елементи на одредбите од материјалното право.</w:t>
            </w:r>
            <w:r w:rsidR="0095051C" w:rsidRPr="007D69B8">
              <w:rPr>
                <w:rFonts w:ascii="Verdana" w:eastAsia="Times New Roman" w:hAnsi="Verdana"/>
              </w:rPr>
              <w:t xml:space="preserve"> </w:t>
            </w:r>
            <w:r w:rsidRPr="007D69B8">
              <w:rPr>
                <w:rFonts w:ascii="Verdana" w:eastAsia="Times New Roman" w:hAnsi="Verdana"/>
                <w:lang w:val="mk-MK"/>
              </w:rPr>
              <w:t>Останатите слајдови се поделени во две колони.</w:t>
            </w:r>
            <w:r w:rsidR="0095051C" w:rsidRPr="007D69B8">
              <w:rPr>
                <w:rFonts w:ascii="Verdana" w:eastAsia="Times New Roman" w:hAnsi="Verdana"/>
              </w:rPr>
              <w:t xml:space="preserve"> </w:t>
            </w:r>
            <w:r w:rsidRPr="007D69B8">
              <w:rPr>
                <w:rFonts w:ascii="Verdana" w:eastAsia="Times New Roman" w:hAnsi="Verdana"/>
                <w:lang w:val="mk-MK"/>
              </w:rPr>
              <w:t>Колоната од левата страна го повторува текстот од Конвенцијата од Будимпешта со нагласен специфичен елемент, додека кол</w:t>
            </w:r>
            <w:r w:rsidR="007B0A96" w:rsidRPr="007D69B8">
              <w:rPr>
                <w:rFonts w:ascii="Verdana" w:eastAsia="Times New Roman" w:hAnsi="Verdana"/>
                <w:lang w:val="mk-MK"/>
              </w:rPr>
              <w:t>о</w:t>
            </w:r>
            <w:r w:rsidRPr="007D69B8">
              <w:rPr>
                <w:rFonts w:ascii="Verdana" w:eastAsia="Times New Roman" w:hAnsi="Verdana"/>
                <w:lang w:val="mk-MK"/>
              </w:rPr>
              <w:t>ната од десната страна дава објаснување на нагласениот елемент.</w:t>
            </w:r>
            <w:r w:rsidR="0095051C" w:rsidRPr="007D69B8">
              <w:rPr>
                <w:rFonts w:ascii="Verdana" w:eastAsia="Times New Roman" w:hAnsi="Verdana"/>
              </w:rPr>
              <w:t xml:space="preserve"> </w:t>
            </w:r>
            <w:r w:rsidRPr="007D69B8">
              <w:rPr>
                <w:rFonts w:ascii="Verdana" w:eastAsia="Times New Roman" w:hAnsi="Verdana"/>
                <w:lang w:val="mk-MK"/>
              </w:rPr>
              <w:t xml:space="preserve">Се очекува обучувачот да го помине секој елемент, за да им даде на </w:t>
            </w:r>
            <w:r w:rsidR="00DF3AD6" w:rsidRPr="007D69B8">
              <w:rPr>
                <w:rFonts w:ascii="Verdana" w:eastAsia="Times New Roman" w:hAnsi="Verdana"/>
                <w:lang w:val="mk-MK"/>
              </w:rPr>
              <w:t>претставници</w:t>
            </w:r>
            <w:r w:rsidRPr="007D69B8">
              <w:rPr>
                <w:rFonts w:ascii="Verdana" w:eastAsia="Times New Roman" w:hAnsi="Verdana"/>
                <w:lang w:val="mk-MK"/>
              </w:rPr>
              <w:t>те сеопфатно разбирање на одредбите од материјалното право.</w:t>
            </w:r>
            <w:r w:rsidR="006F06F9" w:rsidRPr="007D69B8">
              <w:rPr>
                <w:rFonts w:ascii="Verdana" w:eastAsia="Times New Roman" w:hAnsi="Verdana"/>
              </w:rPr>
              <w:t xml:space="preserve"> </w:t>
            </w:r>
            <w:r w:rsidRPr="007D69B8">
              <w:rPr>
                <w:rFonts w:ascii="Verdana" w:eastAsia="Times New Roman" w:hAnsi="Verdana"/>
                <w:lang w:val="mk-MK"/>
              </w:rPr>
              <w:t>Меѓутоа, доколку обучувачот смета дека учесниците имаат доволно знаење за овие одредби од Конвенцијата од Будимпешта, слајдовите за резимирање на почетокот на секој член може да бидат опфатени, наместо деталните слајдови со елементи.</w:t>
            </w:r>
          </w:p>
        </w:tc>
      </w:tr>
      <w:tr w:rsidR="00CE67EA" w:rsidRPr="007D69B8" w14:paraId="36E3D895" w14:textId="77777777" w:rsidTr="007B0A96">
        <w:trPr>
          <w:trHeight w:val="791"/>
        </w:trPr>
        <w:tc>
          <w:tcPr>
            <w:tcW w:w="1672" w:type="dxa"/>
            <w:vAlign w:val="center"/>
          </w:tcPr>
          <w:p w14:paraId="14511361" w14:textId="11F98831" w:rsidR="00CA7AE4"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87 до 152</w:t>
            </w:r>
          </w:p>
          <w:p w14:paraId="3303FBB7" w14:textId="2CEA7A06" w:rsidR="00CE67EA" w:rsidRPr="007D69B8" w:rsidRDefault="00BF6C7C" w:rsidP="007D69B8">
            <w:pPr>
              <w:spacing w:before="120" w:after="120" w:line="260" w:lineRule="atLeast"/>
              <w:jc w:val="center"/>
              <w:rPr>
                <w:rFonts w:ascii="Verdana" w:hAnsi="Verdana"/>
                <w:sz w:val="18"/>
                <w:szCs w:val="18"/>
              </w:rPr>
            </w:pPr>
            <w:r w:rsidRPr="007D69B8">
              <w:rPr>
                <w:rFonts w:ascii="Verdana" w:hAnsi="Verdana"/>
                <w:sz w:val="18"/>
                <w:szCs w:val="18"/>
                <w:lang w:val="mk-MK"/>
              </w:rPr>
              <w:t>Задолжителни слајдови</w:t>
            </w:r>
          </w:p>
        </w:tc>
        <w:tc>
          <w:tcPr>
            <w:tcW w:w="7485" w:type="dxa"/>
            <w:gridSpan w:val="2"/>
            <w:vAlign w:val="center"/>
          </w:tcPr>
          <w:p w14:paraId="1A48E0EE" w14:textId="22423DBC" w:rsidR="006F06F9" w:rsidRPr="007D69B8" w:rsidRDefault="00BF6C7C" w:rsidP="007D69B8">
            <w:pPr>
              <w:spacing w:before="120" w:after="120" w:line="260" w:lineRule="atLeast"/>
              <w:jc w:val="both"/>
              <w:rPr>
                <w:rFonts w:ascii="Verdana" w:hAnsi="Verdana"/>
                <w:sz w:val="18"/>
                <w:szCs w:val="18"/>
              </w:rPr>
            </w:pPr>
            <w:r w:rsidRPr="007D69B8">
              <w:rPr>
                <w:rFonts w:ascii="Verdana" w:hAnsi="Verdana"/>
                <w:sz w:val="18"/>
                <w:szCs w:val="18"/>
                <w:lang w:val="mk-MK"/>
              </w:rPr>
              <w:t xml:space="preserve">Овие слајдови овозможуваат повторување на одредбите од процесното право од член 14 до член 21 од Конвенцијата од Будимпешта (опсег на процедурални одредби, услови и заштитни мерки, забрзано зачувување на компјутерски податоци, забрзано зачувување и делумно откривање на </w:t>
            </w:r>
            <w:r w:rsidR="007B0A96" w:rsidRPr="007D69B8">
              <w:rPr>
                <w:rFonts w:ascii="Verdana" w:hAnsi="Verdana"/>
                <w:sz w:val="18"/>
                <w:szCs w:val="18"/>
                <w:lang w:val="mk-MK"/>
              </w:rPr>
              <w:t>податочен сообраќај</w:t>
            </w:r>
            <w:r w:rsidRPr="007D69B8">
              <w:rPr>
                <w:rFonts w:ascii="Verdana" w:hAnsi="Verdana"/>
                <w:sz w:val="18"/>
                <w:szCs w:val="18"/>
                <w:lang w:val="mk-MK"/>
              </w:rPr>
              <w:t xml:space="preserve">, налог за </w:t>
            </w:r>
            <w:r w:rsidR="007B0A96" w:rsidRPr="007D69B8">
              <w:rPr>
                <w:rFonts w:ascii="Verdana" w:hAnsi="Verdana"/>
                <w:sz w:val="18"/>
                <w:szCs w:val="18"/>
                <w:lang w:val="mk-MK"/>
              </w:rPr>
              <w:t>генерирање информации</w:t>
            </w:r>
            <w:r w:rsidRPr="007D69B8">
              <w:rPr>
                <w:rFonts w:ascii="Verdana" w:hAnsi="Verdana"/>
                <w:sz w:val="18"/>
                <w:szCs w:val="18"/>
                <w:lang w:val="mk-MK"/>
              </w:rPr>
              <w:t>, претрес и запленување на складирани компјутерски податоци,</w:t>
            </w:r>
            <w:r w:rsidR="007B0A96" w:rsidRPr="007D69B8">
              <w:rPr>
                <w:rFonts w:ascii="Verdana" w:hAnsi="Verdana"/>
                <w:sz w:val="18"/>
                <w:szCs w:val="18"/>
                <w:lang w:val="mk-MK"/>
              </w:rPr>
              <w:t xml:space="preserve"> преземање на податочен сообраќај</w:t>
            </w:r>
            <w:r w:rsidRPr="007D69B8">
              <w:rPr>
                <w:rFonts w:ascii="Verdana" w:hAnsi="Verdana"/>
                <w:sz w:val="18"/>
                <w:szCs w:val="18"/>
                <w:lang w:val="mk-MK"/>
              </w:rPr>
              <w:t xml:space="preserve"> во реално време и </w:t>
            </w:r>
            <w:r w:rsidR="007B0A96" w:rsidRPr="007D69B8">
              <w:rPr>
                <w:rFonts w:ascii="Verdana" w:hAnsi="Verdana"/>
                <w:sz w:val="18"/>
                <w:szCs w:val="18"/>
                <w:lang w:val="mk-MK"/>
              </w:rPr>
              <w:t>следе</w:t>
            </w:r>
            <w:r w:rsidRPr="007D69B8">
              <w:rPr>
                <w:rFonts w:ascii="Verdana" w:hAnsi="Verdana"/>
                <w:sz w:val="18"/>
                <w:szCs w:val="18"/>
                <w:lang w:val="mk-MK"/>
              </w:rPr>
              <w:t>ње на содржински</w:t>
            </w:r>
            <w:r w:rsidR="007B0A96" w:rsidRPr="007D69B8">
              <w:rPr>
                <w:rFonts w:ascii="Verdana" w:hAnsi="Verdana"/>
                <w:sz w:val="18"/>
                <w:szCs w:val="18"/>
                <w:lang w:val="mk-MK"/>
              </w:rPr>
              <w:t>те</w:t>
            </w:r>
            <w:r w:rsidRPr="007D69B8">
              <w:rPr>
                <w:rFonts w:ascii="Verdana" w:hAnsi="Verdana"/>
                <w:sz w:val="18"/>
                <w:szCs w:val="18"/>
                <w:lang w:val="mk-MK"/>
              </w:rPr>
              <w:t xml:space="preserve"> податоци).</w:t>
            </w:r>
            <w:r w:rsidR="00CA7AE4" w:rsidRPr="007D69B8">
              <w:rPr>
                <w:rFonts w:ascii="Verdana" w:hAnsi="Verdana"/>
                <w:sz w:val="18"/>
                <w:szCs w:val="18"/>
              </w:rPr>
              <w:t xml:space="preserve"> </w:t>
            </w:r>
            <w:r w:rsidR="00F342D3" w:rsidRPr="007D69B8">
              <w:rPr>
                <w:rFonts w:ascii="Verdana" w:hAnsi="Verdana"/>
                <w:sz w:val="18"/>
                <w:szCs w:val="18"/>
                <w:lang w:val="mk-MK"/>
              </w:rPr>
              <w:t>Овој дел содржи и неколку анкетни прашања, што обучувачот може да ги искористи за да го процени нивото на знаење на учесниците.</w:t>
            </w:r>
            <w:r w:rsidR="00CA7AE4" w:rsidRPr="007D69B8">
              <w:rPr>
                <w:rFonts w:ascii="Verdana" w:hAnsi="Verdana"/>
                <w:sz w:val="18"/>
                <w:szCs w:val="18"/>
              </w:rPr>
              <w:t xml:space="preserve"> </w:t>
            </w:r>
          </w:p>
          <w:p w14:paraId="3B678381" w14:textId="49E2BDAC" w:rsidR="006F06F9" w:rsidRPr="007D69B8" w:rsidRDefault="00F342D3" w:rsidP="007D69B8">
            <w:pPr>
              <w:spacing w:before="120" w:after="120" w:line="260" w:lineRule="atLeast"/>
              <w:jc w:val="both"/>
              <w:rPr>
                <w:rFonts w:ascii="Verdana" w:hAnsi="Verdana"/>
                <w:sz w:val="18"/>
                <w:szCs w:val="18"/>
              </w:rPr>
            </w:pPr>
            <w:r w:rsidRPr="007D69B8">
              <w:rPr>
                <w:rFonts w:ascii="Verdana" w:eastAsia="Times New Roman" w:hAnsi="Verdana"/>
                <w:sz w:val="18"/>
                <w:szCs w:val="18"/>
                <w:lang w:val="mk-MK"/>
              </w:rPr>
              <w:t xml:space="preserve">Првиот дел слајдови </w:t>
            </w:r>
            <w:r w:rsidR="007B0A96" w:rsidRPr="007D69B8">
              <w:rPr>
                <w:rFonts w:ascii="Verdana" w:eastAsia="Times New Roman" w:hAnsi="Verdana"/>
                <w:sz w:val="18"/>
                <w:szCs w:val="18"/>
                <w:lang w:val="mk-MK"/>
              </w:rPr>
              <w:t>да</w:t>
            </w:r>
            <w:r w:rsidRPr="007D69B8">
              <w:rPr>
                <w:rFonts w:ascii="Verdana" w:eastAsia="Times New Roman" w:hAnsi="Verdana"/>
                <w:sz w:val="18"/>
                <w:szCs w:val="18"/>
                <w:lang w:val="mk-MK"/>
              </w:rPr>
              <w:t xml:space="preserve">ва кратка содржина на главните елементи на одредбите </w:t>
            </w:r>
            <w:r w:rsidR="003C51FE" w:rsidRPr="007D69B8">
              <w:rPr>
                <w:rFonts w:ascii="Verdana" w:eastAsia="Times New Roman" w:hAnsi="Verdana"/>
                <w:sz w:val="18"/>
                <w:szCs w:val="18"/>
                <w:lang w:val="mk-MK"/>
              </w:rPr>
              <w:t>од</w:t>
            </w:r>
            <w:r w:rsidRPr="007D69B8">
              <w:rPr>
                <w:rFonts w:ascii="Verdana" w:eastAsia="Times New Roman" w:hAnsi="Verdana"/>
                <w:sz w:val="18"/>
                <w:szCs w:val="18"/>
                <w:lang w:val="mk-MK"/>
              </w:rPr>
              <w:t xml:space="preserve"> процесното право.</w:t>
            </w:r>
            <w:r w:rsidR="006F06F9" w:rsidRPr="007D69B8">
              <w:rPr>
                <w:rFonts w:ascii="Verdana" w:eastAsia="Times New Roman" w:hAnsi="Verdana"/>
                <w:sz w:val="18"/>
                <w:szCs w:val="18"/>
              </w:rPr>
              <w:t xml:space="preserve"> </w:t>
            </w:r>
            <w:r w:rsidRPr="007D69B8">
              <w:rPr>
                <w:rFonts w:ascii="Verdana" w:eastAsia="Times New Roman" w:hAnsi="Verdana" w:cstheme="majorBidi"/>
                <w:iCs/>
                <w:color w:val="000000" w:themeColor="text1"/>
                <w:sz w:val="18"/>
                <w:szCs w:val="18"/>
                <w:lang w:val="mk-MK"/>
              </w:rPr>
              <w:t xml:space="preserve">Останатите слајдови се поделени во две </w:t>
            </w:r>
            <w:r w:rsidRPr="007D69B8">
              <w:rPr>
                <w:rFonts w:ascii="Verdana" w:eastAsia="Times New Roman" w:hAnsi="Verdana" w:cstheme="majorBidi"/>
                <w:iCs/>
                <w:color w:val="000000" w:themeColor="text1"/>
                <w:sz w:val="18"/>
                <w:szCs w:val="18"/>
                <w:lang w:val="mk-MK"/>
              </w:rPr>
              <w:lastRenderedPageBreak/>
              <w:t>колони.</w:t>
            </w:r>
            <w:r w:rsidR="006F06F9" w:rsidRPr="007D69B8">
              <w:rPr>
                <w:rFonts w:ascii="Verdana" w:eastAsia="Times New Roman" w:hAnsi="Verdana" w:cstheme="majorBidi"/>
                <w:iCs/>
                <w:color w:val="000000" w:themeColor="text1"/>
                <w:sz w:val="18"/>
                <w:szCs w:val="18"/>
              </w:rPr>
              <w:t xml:space="preserve"> </w:t>
            </w:r>
            <w:r w:rsidRPr="007D69B8">
              <w:rPr>
                <w:rFonts w:ascii="Verdana" w:eastAsia="Times New Roman" w:hAnsi="Verdana" w:cstheme="majorBidi"/>
                <w:iCs/>
                <w:color w:val="000000" w:themeColor="text1"/>
                <w:sz w:val="18"/>
                <w:szCs w:val="18"/>
                <w:lang w:val="mk-MK"/>
              </w:rPr>
              <w:t>Колоната од левата страна го повторува текстот од Конвенцијата од Будимпешта со нагласен специфичен елемент, додека кол</w:t>
            </w:r>
            <w:r w:rsidR="007B0A96" w:rsidRPr="007D69B8">
              <w:rPr>
                <w:rFonts w:ascii="Verdana" w:eastAsia="Times New Roman" w:hAnsi="Verdana" w:cstheme="majorBidi"/>
                <w:iCs/>
                <w:color w:val="000000" w:themeColor="text1"/>
                <w:sz w:val="18"/>
                <w:szCs w:val="18"/>
                <w:lang w:val="mk-MK"/>
              </w:rPr>
              <w:t>он</w:t>
            </w:r>
            <w:r w:rsidRPr="007D69B8">
              <w:rPr>
                <w:rFonts w:ascii="Verdana" w:eastAsia="Times New Roman" w:hAnsi="Verdana" w:cstheme="majorBidi"/>
                <w:iCs/>
                <w:color w:val="000000" w:themeColor="text1"/>
                <w:sz w:val="18"/>
                <w:szCs w:val="18"/>
                <w:lang w:val="mk-MK"/>
              </w:rPr>
              <w:t>ата од десната страна дава објаснување на нагласениот елемент.</w:t>
            </w:r>
            <w:r w:rsidR="006F06F9" w:rsidRPr="007D69B8">
              <w:rPr>
                <w:rFonts w:ascii="Verdana" w:eastAsia="Times New Roman" w:hAnsi="Verdana" w:cstheme="majorBidi"/>
                <w:iCs/>
                <w:color w:val="000000" w:themeColor="text1"/>
                <w:sz w:val="18"/>
                <w:szCs w:val="18"/>
              </w:rPr>
              <w:t xml:space="preserve"> </w:t>
            </w:r>
            <w:r w:rsidRPr="007D69B8">
              <w:rPr>
                <w:rFonts w:ascii="Verdana" w:eastAsia="Times New Roman" w:hAnsi="Verdana" w:cstheme="majorBidi"/>
                <w:iCs/>
                <w:color w:val="000000" w:themeColor="text1"/>
                <w:sz w:val="18"/>
                <w:szCs w:val="18"/>
                <w:lang w:val="mk-MK"/>
              </w:rPr>
              <w:t xml:space="preserve">Се очекува обучувачот да го помине секој елемент, за да им обезбеди на </w:t>
            </w:r>
            <w:r w:rsidR="00DF3AD6" w:rsidRPr="007D69B8">
              <w:rPr>
                <w:rFonts w:ascii="Verdana" w:eastAsia="Times New Roman" w:hAnsi="Verdana" w:cstheme="majorBidi"/>
                <w:iCs/>
                <w:color w:val="000000" w:themeColor="text1"/>
                <w:sz w:val="18"/>
                <w:szCs w:val="18"/>
                <w:lang w:val="mk-MK"/>
              </w:rPr>
              <w:t>претставници</w:t>
            </w:r>
            <w:r w:rsidRPr="007D69B8">
              <w:rPr>
                <w:rFonts w:ascii="Verdana" w:eastAsia="Times New Roman" w:hAnsi="Verdana" w:cstheme="majorBidi"/>
                <w:iCs/>
                <w:color w:val="000000" w:themeColor="text1"/>
                <w:sz w:val="18"/>
                <w:szCs w:val="18"/>
                <w:lang w:val="mk-MK"/>
              </w:rPr>
              <w:t xml:space="preserve">те сеопфатно разбирање на одредбите </w:t>
            </w:r>
            <w:r w:rsidR="003C51FE" w:rsidRPr="007D69B8">
              <w:rPr>
                <w:rFonts w:ascii="Verdana" w:eastAsia="Times New Roman" w:hAnsi="Verdana" w:cstheme="majorBidi"/>
                <w:iCs/>
                <w:color w:val="000000" w:themeColor="text1"/>
                <w:sz w:val="18"/>
                <w:szCs w:val="18"/>
                <w:lang w:val="mk-MK"/>
              </w:rPr>
              <w:t>од</w:t>
            </w:r>
            <w:r w:rsidRPr="007D69B8">
              <w:rPr>
                <w:rFonts w:ascii="Verdana" w:eastAsia="Times New Roman" w:hAnsi="Verdana" w:cstheme="majorBidi"/>
                <w:iCs/>
                <w:color w:val="000000" w:themeColor="text1"/>
                <w:sz w:val="18"/>
                <w:szCs w:val="18"/>
                <w:lang w:val="mk-MK"/>
              </w:rPr>
              <w:t xml:space="preserve"> процесното право.</w:t>
            </w:r>
            <w:r w:rsidR="006F06F9" w:rsidRPr="007D69B8">
              <w:rPr>
                <w:rFonts w:ascii="Verdana" w:eastAsia="Times New Roman" w:hAnsi="Verdana"/>
                <w:sz w:val="18"/>
                <w:szCs w:val="18"/>
              </w:rPr>
              <w:t xml:space="preserve"> </w:t>
            </w:r>
            <w:r w:rsidR="001369CE" w:rsidRPr="007D69B8">
              <w:rPr>
                <w:rFonts w:ascii="Verdana" w:eastAsia="Times New Roman" w:hAnsi="Verdana"/>
                <w:sz w:val="18"/>
                <w:szCs w:val="18"/>
                <w:lang w:val="mk-MK"/>
              </w:rPr>
              <w:t>Меѓутоа, доколку обучувачот смета дека учесниците имаат доволно знаење за овие одредби од Конвенцијата од Будимпешта, слајдовите за резимирање на почетокот на секој член може да бидат опфатени, наместо деталните слајдови со елементи.</w:t>
            </w:r>
          </w:p>
          <w:p w14:paraId="3ADC7791" w14:textId="3C1BD5C1" w:rsidR="00CE67EA" w:rsidRPr="007D69B8" w:rsidRDefault="001369CE" w:rsidP="007D69B8">
            <w:pPr>
              <w:spacing w:before="120" w:after="120" w:line="260" w:lineRule="atLeast"/>
              <w:jc w:val="both"/>
              <w:rPr>
                <w:rFonts w:ascii="Verdana" w:hAnsi="Verdana"/>
                <w:sz w:val="18"/>
                <w:szCs w:val="18"/>
              </w:rPr>
            </w:pPr>
            <w:r w:rsidRPr="007D69B8">
              <w:rPr>
                <w:rFonts w:ascii="Verdana" w:hAnsi="Verdana"/>
                <w:sz w:val="18"/>
                <w:szCs w:val="18"/>
                <w:lang w:val="mk-MK"/>
              </w:rPr>
              <w:t>Обучувачот треба постојано да ги потсетува учесниците дека е од суштинско значење да се разберат одредбите од процедуралното право за целите на овој курс, бидејќи тие се користат за спроведување мерки што треба да се преземат во согласност со барањата за заемна помош.</w:t>
            </w:r>
            <w:r w:rsidR="00CE67EA" w:rsidRPr="007D69B8">
              <w:rPr>
                <w:rFonts w:ascii="Verdana" w:hAnsi="Verdana"/>
                <w:sz w:val="18"/>
                <w:szCs w:val="18"/>
              </w:rPr>
              <w:t xml:space="preserve"> </w:t>
            </w:r>
          </w:p>
        </w:tc>
      </w:tr>
      <w:tr w:rsidR="00CA7AE4" w:rsidRPr="007D69B8" w14:paraId="22C5AB80" w14:textId="77777777" w:rsidTr="007B0A96">
        <w:trPr>
          <w:trHeight w:val="791"/>
        </w:trPr>
        <w:tc>
          <w:tcPr>
            <w:tcW w:w="1672" w:type="dxa"/>
            <w:vAlign w:val="center"/>
          </w:tcPr>
          <w:p w14:paraId="0D063FA8" w14:textId="12E41306" w:rsidR="00CA7AE4" w:rsidRPr="007D69B8" w:rsidRDefault="001369CE" w:rsidP="007D69B8">
            <w:pPr>
              <w:spacing w:before="120" w:after="120" w:line="260" w:lineRule="atLeast"/>
              <w:jc w:val="center"/>
              <w:rPr>
                <w:rFonts w:ascii="Verdana" w:hAnsi="Verdana"/>
                <w:sz w:val="18"/>
                <w:szCs w:val="18"/>
              </w:rPr>
            </w:pPr>
            <w:r w:rsidRPr="007D69B8">
              <w:rPr>
                <w:rFonts w:ascii="Verdana" w:hAnsi="Verdana"/>
                <w:sz w:val="18"/>
                <w:szCs w:val="18"/>
                <w:lang w:val="mk-MK"/>
              </w:rPr>
              <w:lastRenderedPageBreak/>
              <w:t>153 до 166</w:t>
            </w:r>
          </w:p>
          <w:p w14:paraId="209E53F0" w14:textId="52BA92B6" w:rsidR="00CA7AE4" w:rsidRPr="007D69B8" w:rsidRDefault="001369CE" w:rsidP="007D69B8">
            <w:pPr>
              <w:spacing w:before="120" w:after="120" w:line="260" w:lineRule="atLeast"/>
              <w:jc w:val="center"/>
              <w:rPr>
                <w:rFonts w:ascii="Verdana" w:hAnsi="Verdana"/>
                <w:sz w:val="18"/>
                <w:szCs w:val="18"/>
              </w:rPr>
            </w:pPr>
            <w:r w:rsidRPr="007D69B8">
              <w:rPr>
                <w:rFonts w:ascii="Verdana" w:hAnsi="Verdana"/>
                <w:sz w:val="18"/>
                <w:szCs w:val="18"/>
                <w:lang w:val="mk-MK"/>
              </w:rPr>
              <w:t>Задолжителни слајдови</w:t>
            </w:r>
          </w:p>
        </w:tc>
        <w:tc>
          <w:tcPr>
            <w:tcW w:w="7485" w:type="dxa"/>
            <w:gridSpan w:val="2"/>
            <w:vAlign w:val="center"/>
          </w:tcPr>
          <w:p w14:paraId="7506D927" w14:textId="400F496D" w:rsidR="00CA7AE4" w:rsidRPr="007D69B8" w:rsidRDefault="001369CE" w:rsidP="007D69B8">
            <w:pPr>
              <w:spacing w:before="120" w:after="120" w:line="260" w:lineRule="atLeast"/>
              <w:jc w:val="both"/>
              <w:rPr>
                <w:rFonts w:ascii="Verdana" w:hAnsi="Verdana"/>
                <w:sz w:val="18"/>
                <w:szCs w:val="18"/>
              </w:rPr>
            </w:pPr>
            <w:r w:rsidRPr="007D69B8">
              <w:rPr>
                <w:rFonts w:ascii="Verdana" w:hAnsi="Verdana"/>
                <w:sz w:val="18"/>
                <w:szCs w:val="18"/>
                <w:lang w:val="mk-MK"/>
              </w:rPr>
              <w:t>Овие слајдови овозможуваат преглед на меѓународн</w:t>
            </w:r>
            <w:r w:rsidR="007B0A96" w:rsidRPr="007D69B8">
              <w:rPr>
                <w:rFonts w:ascii="Verdana" w:hAnsi="Verdana"/>
                <w:sz w:val="18"/>
                <w:szCs w:val="18"/>
                <w:lang w:val="mk-MK"/>
              </w:rPr>
              <w:t>ата состојба</w:t>
            </w:r>
            <w:r w:rsidRPr="007D69B8">
              <w:rPr>
                <w:rFonts w:ascii="Verdana" w:hAnsi="Verdana"/>
                <w:sz w:val="18"/>
                <w:szCs w:val="18"/>
                <w:lang w:val="mk-MK"/>
              </w:rPr>
              <w:t xml:space="preserve"> во однос на формалната меѓународна соработка.</w:t>
            </w:r>
            <w:r w:rsidR="009D4199" w:rsidRPr="007D69B8">
              <w:rPr>
                <w:rFonts w:ascii="Verdana" w:hAnsi="Verdana"/>
                <w:sz w:val="18"/>
                <w:szCs w:val="18"/>
              </w:rPr>
              <w:t xml:space="preserve"> </w:t>
            </w:r>
            <w:r w:rsidRPr="007D69B8">
              <w:rPr>
                <w:rFonts w:ascii="Verdana" w:hAnsi="Verdana"/>
                <w:sz w:val="18"/>
                <w:szCs w:val="18"/>
                <w:lang w:val="mk-MK"/>
              </w:rPr>
              <w:t>Ги опфаќа Конвенциите на Канцеларијата на Обединетите нации за дрога и криминал (Конвенцијата на Обединетите нации против транснационален организиран криминал и Конвенцијата на Обединетите нации против корупција), Конвенциите на Советот на Европа (Конвенцијата од Будимпешта и Конвенцијата на Советот на Европа за заемна помош во кривични предмети) пред да се разгледаат другите регионални инструменти.</w:t>
            </w:r>
            <w:r w:rsidR="009D4199" w:rsidRPr="007D69B8">
              <w:rPr>
                <w:rFonts w:ascii="Verdana" w:hAnsi="Verdana"/>
                <w:sz w:val="18"/>
                <w:szCs w:val="18"/>
              </w:rPr>
              <w:t xml:space="preserve"> </w:t>
            </w:r>
            <w:r w:rsidRPr="007D69B8">
              <w:rPr>
                <w:rFonts w:ascii="Verdana" w:hAnsi="Verdana"/>
                <w:sz w:val="18"/>
                <w:szCs w:val="18"/>
                <w:lang w:val="mk-MK"/>
              </w:rPr>
              <w:t>Овој дел завршува со анкетно прашање.</w:t>
            </w:r>
          </w:p>
        </w:tc>
      </w:tr>
      <w:tr w:rsidR="009D4199" w:rsidRPr="007D69B8" w14:paraId="710946DE" w14:textId="77777777" w:rsidTr="007B0A96">
        <w:trPr>
          <w:trHeight w:val="791"/>
        </w:trPr>
        <w:tc>
          <w:tcPr>
            <w:tcW w:w="1672" w:type="dxa"/>
            <w:vAlign w:val="center"/>
          </w:tcPr>
          <w:p w14:paraId="67D7E03E" w14:textId="1AC5AFC9" w:rsidR="009D4199" w:rsidRPr="007D69B8" w:rsidRDefault="001369CE" w:rsidP="007D69B8">
            <w:pPr>
              <w:spacing w:before="120" w:after="120" w:line="260" w:lineRule="atLeast"/>
              <w:jc w:val="center"/>
              <w:rPr>
                <w:rFonts w:ascii="Verdana" w:hAnsi="Verdana"/>
                <w:sz w:val="18"/>
                <w:szCs w:val="18"/>
              </w:rPr>
            </w:pPr>
            <w:r w:rsidRPr="007D69B8">
              <w:rPr>
                <w:rFonts w:ascii="Verdana" w:hAnsi="Verdana"/>
                <w:sz w:val="18"/>
                <w:szCs w:val="18"/>
                <w:lang w:val="mk-MK"/>
              </w:rPr>
              <w:t>167 до 175</w:t>
            </w:r>
          </w:p>
          <w:p w14:paraId="25C948CE" w14:textId="2CF56CFD" w:rsidR="009D4199" w:rsidRPr="007D69B8" w:rsidRDefault="001369CE" w:rsidP="007D69B8">
            <w:pPr>
              <w:spacing w:before="120" w:after="120" w:line="260" w:lineRule="atLeast"/>
              <w:jc w:val="center"/>
              <w:rPr>
                <w:rFonts w:ascii="Verdana" w:hAnsi="Verdana"/>
                <w:sz w:val="18"/>
                <w:szCs w:val="18"/>
              </w:rPr>
            </w:pPr>
            <w:r w:rsidRPr="007D69B8">
              <w:rPr>
                <w:rFonts w:ascii="Verdana" w:hAnsi="Verdana"/>
                <w:sz w:val="18"/>
                <w:szCs w:val="18"/>
                <w:lang w:val="mk-MK"/>
              </w:rPr>
              <w:t>Задолжителни слајдови</w:t>
            </w:r>
          </w:p>
        </w:tc>
        <w:tc>
          <w:tcPr>
            <w:tcW w:w="7485" w:type="dxa"/>
            <w:gridSpan w:val="2"/>
            <w:vAlign w:val="center"/>
          </w:tcPr>
          <w:p w14:paraId="35FAC94C" w14:textId="170E40D1" w:rsidR="009D4199" w:rsidRPr="007D69B8" w:rsidRDefault="001369CE" w:rsidP="007D69B8">
            <w:pPr>
              <w:spacing w:before="120" w:after="120" w:line="260" w:lineRule="atLeast"/>
              <w:jc w:val="both"/>
              <w:rPr>
                <w:rFonts w:ascii="Verdana" w:hAnsi="Verdana"/>
                <w:sz w:val="18"/>
                <w:szCs w:val="18"/>
              </w:rPr>
            </w:pPr>
            <w:r w:rsidRPr="007D69B8">
              <w:rPr>
                <w:rFonts w:ascii="Verdana" w:hAnsi="Verdana"/>
                <w:sz w:val="18"/>
                <w:szCs w:val="18"/>
                <w:lang w:val="mk-MK"/>
              </w:rPr>
              <w:t>Овие слајдови овозможуваат увид во примената и опсегот на Конвенцијата од Будимпешта.</w:t>
            </w:r>
            <w:r w:rsidR="009D4199" w:rsidRPr="007D69B8">
              <w:rPr>
                <w:rFonts w:ascii="Verdana" w:hAnsi="Verdana"/>
                <w:sz w:val="18"/>
                <w:szCs w:val="18"/>
              </w:rPr>
              <w:t xml:space="preserve"> </w:t>
            </w:r>
            <w:r w:rsidR="00423FE9" w:rsidRPr="007D69B8">
              <w:rPr>
                <w:rFonts w:ascii="Verdana" w:hAnsi="Verdana"/>
                <w:sz w:val="18"/>
                <w:szCs w:val="18"/>
                <w:lang w:val="mk-MK"/>
              </w:rPr>
              <w:t xml:space="preserve">Овие слајдови ги покажуваат „трите </w:t>
            </w:r>
            <w:r w:rsidR="007B0A96" w:rsidRPr="007D69B8">
              <w:rPr>
                <w:rFonts w:ascii="Verdana" w:hAnsi="Verdana"/>
                <w:sz w:val="18"/>
                <w:szCs w:val="18"/>
                <w:lang w:val="mk-MK"/>
              </w:rPr>
              <w:t>столба</w:t>
            </w:r>
            <w:r w:rsidR="00423FE9" w:rsidRPr="007D69B8">
              <w:rPr>
                <w:rFonts w:ascii="Verdana" w:hAnsi="Verdana"/>
                <w:sz w:val="18"/>
                <w:szCs w:val="18"/>
                <w:lang w:val="mk-MK"/>
              </w:rPr>
              <w:t>“ на Конвенцијата од Будимпешта (односно, криминализирање на однесувањето, проце</w:t>
            </w:r>
            <w:r w:rsidR="007B0A96" w:rsidRPr="007D69B8">
              <w:rPr>
                <w:rFonts w:ascii="Verdana" w:hAnsi="Verdana"/>
                <w:sz w:val="18"/>
                <w:szCs w:val="18"/>
                <w:lang w:val="mk-MK"/>
              </w:rPr>
              <w:t>с</w:t>
            </w:r>
            <w:r w:rsidR="00423FE9" w:rsidRPr="007D69B8">
              <w:rPr>
                <w:rFonts w:ascii="Verdana" w:hAnsi="Verdana"/>
                <w:sz w:val="18"/>
                <w:szCs w:val="18"/>
                <w:lang w:val="mk-MK"/>
              </w:rPr>
              <w:t>ни алатки и меѓународна соработка).</w:t>
            </w:r>
            <w:r w:rsidR="009D4199" w:rsidRPr="007D69B8">
              <w:rPr>
                <w:rFonts w:ascii="Verdana" w:hAnsi="Verdana"/>
                <w:sz w:val="18"/>
                <w:szCs w:val="18"/>
              </w:rPr>
              <w:t xml:space="preserve"> </w:t>
            </w:r>
            <w:r w:rsidR="00423FE9" w:rsidRPr="007D69B8">
              <w:rPr>
                <w:rFonts w:ascii="Verdana" w:hAnsi="Verdana"/>
                <w:sz w:val="18"/>
                <w:szCs w:val="18"/>
                <w:lang w:val="mk-MK"/>
              </w:rPr>
              <w:t>Обучувачот може да објасни дека првите дв</w:t>
            </w:r>
            <w:r w:rsidR="007B0A96" w:rsidRPr="007D69B8">
              <w:rPr>
                <w:rFonts w:ascii="Verdana" w:hAnsi="Verdana"/>
                <w:sz w:val="18"/>
                <w:szCs w:val="18"/>
                <w:lang w:val="mk-MK"/>
              </w:rPr>
              <w:t>а столба</w:t>
            </w:r>
            <w:r w:rsidR="00423FE9" w:rsidRPr="007D69B8">
              <w:rPr>
                <w:rFonts w:ascii="Verdana" w:hAnsi="Verdana"/>
                <w:sz w:val="18"/>
                <w:szCs w:val="18"/>
                <w:lang w:val="mk-MK"/>
              </w:rPr>
              <w:t xml:space="preserve"> беа опфатени во претходниот дел од оваа сесија, додека најрелевантн</w:t>
            </w:r>
            <w:r w:rsidR="007B0A96" w:rsidRPr="007D69B8">
              <w:rPr>
                <w:rFonts w:ascii="Verdana" w:hAnsi="Verdana"/>
                <w:sz w:val="18"/>
                <w:szCs w:val="18"/>
                <w:lang w:val="mk-MK"/>
              </w:rPr>
              <w:t>иот столб</w:t>
            </w:r>
            <w:r w:rsidR="00423FE9" w:rsidRPr="007D69B8">
              <w:rPr>
                <w:rFonts w:ascii="Verdana" w:hAnsi="Verdana"/>
                <w:sz w:val="18"/>
                <w:szCs w:val="18"/>
                <w:lang w:val="mk-MK"/>
              </w:rPr>
              <w:t xml:space="preserve"> на овој курс и меѓународната соработка ќе бид</w:t>
            </w:r>
            <w:r w:rsidR="007B0A96" w:rsidRPr="007D69B8">
              <w:rPr>
                <w:rFonts w:ascii="Verdana" w:hAnsi="Verdana"/>
                <w:sz w:val="18"/>
                <w:szCs w:val="18"/>
                <w:lang w:val="mk-MK"/>
              </w:rPr>
              <w:t>ат</w:t>
            </w:r>
            <w:r w:rsidR="00423FE9" w:rsidRPr="007D69B8">
              <w:rPr>
                <w:rFonts w:ascii="Verdana" w:hAnsi="Verdana"/>
                <w:sz w:val="18"/>
                <w:szCs w:val="18"/>
                <w:lang w:val="mk-MK"/>
              </w:rPr>
              <w:t xml:space="preserve"> опфатен</w:t>
            </w:r>
            <w:r w:rsidR="007B0A96" w:rsidRPr="007D69B8">
              <w:rPr>
                <w:rFonts w:ascii="Verdana" w:hAnsi="Verdana"/>
                <w:sz w:val="18"/>
                <w:szCs w:val="18"/>
                <w:lang w:val="mk-MK"/>
              </w:rPr>
              <w:t>и</w:t>
            </w:r>
            <w:r w:rsidR="00423FE9" w:rsidRPr="007D69B8">
              <w:rPr>
                <w:rFonts w:ascii="Verdana" w:hAnsi="Verdana"/>
                <w:sz w:val="18"/>
                <w:szCs w:val="18"/>
                <w:lang w:val="mk-MK"/>
              </w:rPr>
              <w:t xml:space="preserve"> следниот ден.</w:t>
            </w:r>
            <w:r w:rsidR="009D4199" w:rsidRPr="007D69B8">
              <w:rPr>
                <w:rFonts w:ascii="Verdana" w:hAnsi="Verdana"/>
                <w:sz w:val="18"/>
                <w:szCs w:val="18"/>
              </w:rPr>
              <w:t xml:space="preserve"> </w:t>
            </w:r>
            <w:r w:rsidR="00423FE9" w:rsidRPr="007D69B8">
              <w:rPr>
                <w:rFonts w:ascii="Verdana" w:hAnsi="Verdana"/>
                <w:sz w:val="18"/>
                <w:szCs w:val="18"/>
                <w:lang w:val="mk-MK"/>
              </w:rPr>
              <w:t>Овој дел завршува со слајд што ги резимира одредбите за меѓународна соработка од Конвенцијата од Будимпешта.</w:t>
            </w:r>
            <w:r w:rsidR="009D4199" w:rsidRPr="007D69B8">
              <w:rPr>
                <w:rFonts w:ascii="Verdana" w:hAnsi="Verdana"/>
                <w:sz w:val="18"/>
                <w:szCs w:val="18"/>
              </w:rPr>
              <w:t xml:space="preserve"> </w:t>
            </w:r>
          </w:p>
        </w:tc>
      </w:tr>
      <w:tr w:rsidR="00CA7AE4" w:rsidRPr="007D69B8" w14:paraId="1124B11E" w14:textId="77777777" w:rsidTr="007B0A96">
        <w:trPr>
          <w:trHeight w:val="791"/>
        </w:trPr>
        <w:tc>
          <w:tcPr>
            <w:tcW w:w="1672" w:type="dxa"/>
            <w:vAlign w:val="center"/>
          </w:tcPr>
          <w:p w14:paraId="66E0E3DD" w14:textId="36585239" w:rsidR="00CA7AE4" w:rsidRPr="007D69B8" w:rsidRDefault="00423FE9" w:rsidP="007D69B8">
            <w:pPr>
              <w:spacing w:before="120" w:after="120" w:line="260" w:lineRule="atLeast"/>
              <w:jc w:val="center"/>
              <w:rPr>
                <w:rFonts w:ascii="Verdana" w:hAnsi="Verdana"/>
                <w:sz w:val="18"/>
                <w:szCs w:val="18"/>
              </w:rPr>
            </w:pPr>
            <w:r w:rsidRPr="007D69B8">
              <w:rPr>
                <w:rFonts w:ascii="Verdana" w:hAnsi="Verdana"/>
                <w:sz w:val="18"/>
                <w:szCs w:val="18"/>
                <w:lang w:val="mk-MK"/>
              </w:rPr>
              <w:t>176 до 184</w:t>
            </w:r>
          </w:p>
          <w:p w14:paraId="2FDE460E" w14:textId="7557313E" w:rsidR="00CA7AE4" w:rsidRPr="007D69B8" w:rsidRDefault="00423FE9" w:rsidP="007D69B8">
            <w:pPr>
              <w:spacing w:before="120" w:after="120" w:line="260" w:lineRule="atLeast"/>
              <w:jc w:val="center"/>
              <w:rPr>
                <w:rFonts w:ascii="Verdana" w:hAnsi="Verdana"/>
                <w:sz w:val="18"/>
                <w:szCs w:val="18"/>
              </w:rPr>
            </w:pPr>
            <w:r w:rsidRPr="007D69B8">
              <w:rPr>
                <w:rFonts w:ascii="Verdana" w:hAnsi="Verdana"/>
                <w:sz w:val="18"/>
                <w:szCs w:val="18"/>
                <w:lang w:val="mk-MK"/>
              </w:rPr>
              <w:t>Задолжителни слајдови</w:t>
            </w:r>
          </w:p>
        </w:tc>
        <w:tc>
          <w:tcPr>
            <w:tcW w:w="7485" w:type="dxa"/>
            <w:gridSpan w:val="2"/>
            <w:vAlign w:val="center"/>
          </w:tcPr>
          <w:p w14:paraId="7D32639E" w14:textId="1949EA9F" w:rsidR="00CA7AE4" w:rsidRPr="007D69B8" w:rsidRDefault="00423FE9" w:rsidP="007D69B8">
            <w:pPr>
              <w:spacing w:before="120" w:after="120" w:line="260" w:lineRule="atLeast"/>
              <w:jc w:val="both"/>
              <w:rPr>
                <w:rFonts w:ascii="Verdana" w:hAnsi="Verdana"/>
                <w:sz w:val="18"/>
                <w:szCs w:val="18"/>
              </w:rPr>
            </w:pPr>
            <w:r w:rsidRPr="007D69B8">
              <w:rPr>
                <w:rFonts w:ascii="Verdana" w:hAnsi="Verdana"/>
                <w:sz w:val="18"/>
                <w:szCs w:val="18"/>
                <w:lang w:val="mk-MK"/>
              </w:rPr>
              <w:t xml:space="preserve">Овие слајдови обезбедуваат преглед на Вториот дополнителен протокол </w:t>
            </w:r>
            <w:r w:rsidR="007B0A96" w:rsidRPr="007D69B8">
              <w:rPr>
                <w:rFonts w:ascii="Verdana" w:hAnsi="Verdana"/>
                <w:sz w:val="18"/>
                <w:szCs w:val="18"/>
                <w:lang w:val="mk-MK"/>
              </w:rPr>
              <w:t>кон</w:t>
            </w:r>
            <w:r w:rsidRPr="007D69B8">
              <w:rPr>
                <w:rFonts w:ascii="Verdana" w:hAnsi="Verdana"/>
                <w:sz w:val="18"/>
                <w:szCs w:val="18"/>
                <w:lang w:val="mk-MK"/>
              </w:rPr>
              <w:t xml:space="preserve"> Конвенцијата од Будимпешта.</w:t>
            </w:r>
            <w:r w:rsidR="00CD37F4" w:rsidRPr="007D69B8">
              <w:rPr>
                <w:rFonts w:ascii="Verdana" w:hAnsi="Verdana"/>
                <w:sz w:val="18"/>
                <w:szCs w:val="18"/>
              </w:rPr>
              <w:t xml:space="preserve"> </w:t>
            </w:r>
            <w:r w:rsidRPr="007D69B8">
              <w:rPr>
                <w:rFonts w:ascii="Verdana" w:hAnsi="Verdana"/>
                <w:sz w:val="18"/>
                <w:szCs w:val="18"/>
                <w:lang w:val="mk-MK"/>
              </w:rPr>
              <w:t>Тие содржат краток историски контекст за Протоколот, за Прекуграничната работна група и Групата за докази на облак пред да се објасни работата на Групата за изготвување протоколи.</w:t>
            </w:r>
            <w:r w:rsidR="00CD37F4" w:rsidRPr="007D69B8">
              <w:rPr>
                <w:rFonts w:ascii="Verdana" w:hAnsi="Verdana"/>
                <w:sz w:val="18"/>
                <w:szCs w:val="18"/>
              </w:rPr>
              <w:t xml:space="preserve"> </w:t>
            </w:r>
            <w:r w:rsidRPr="007D69B8">
              <w:rPr>
                <w:rFonts w:ascii="Verdana" w:hAnsi="Verdana"/>
                <w:sz w:val="18"/>
                <w:szCs w:val="18"/>
                <w:lang w:val="mk-MK"/>
              </w:rPr>
              <w:t>Иако ова би требало да им обезбеди на учесниците индикација за опсегот на Вториот дополнителен протокол, важно</w:t>
            </w:r>
            <w:r w:rsidR="007B0A96" w:rsidRPr="007D69B8">
              <w:rPr>
                <w:rFonts w:ascii="Verdana" w:hAnsi="Verdana"/>
                <w:sz w:val="18"/>
                <w:szCs w:val="18"/>
                <w:lang w:val="mk-MK"/>
              </w:rPr>
              <w:t xml:space="preserve"> е</w:t>
            </w:r>
            <w:r w:rsidRPr="007D69B8">
              <w:rPr>
                <w:rFonts w:ascii="Verdana" w:hAnsi="Verdana"/>
                <w:sz w:val="18"/>
                <w:szCs w:val="18"/>
                <w:lang w:val="mk-MK"/>
              </w:rPr>
              <w:t xml:space="preserve"> да се ажурираат овие слајдови пред секоја презентација, со цел да се осигура дека состојбата на работата во тек од Вториот дополнителен протокол е точно одразена.</w:t>
            </w:r>
            <w:r w:rsidR="009054B7" w:rsidRPr="007D69B8">
              <w:rPr>
                <w:rFonts w:ascii="Verdana" w:hAnsi="Verdana"/>
                <w:sz w:val="18"/>
                <w:szCs w:val="18"/>
              </w:rPr>
              <w:t xml:space="preserve"> </w:t>
            </w:r>
            <w:r w:rsidRPr="007D69B8">
              <w:rPr>
                <w:rFonts w:ascii="Verdana" w:hAnsi="Verdana"/>
                <w:sz w:val="18"/>
                <w:szCs w:val="18"/>
                <w:lang w:val="mk-MK"/>
              </w:rPr>
              <w:t>Овој дел завршува со едноставно анкетно прашање.</w:t>
            </w:r>
          </w:p>
        </w:tc>
      </w:tr>
      <w:tr w:rsidR="00F1574D" w:rsidRPr="007D69B8" w14:paraId="3C4A313A" w14:textId="77777777" w:rsidTr="007B0A96">
        <w:trPr>
          <w:trHeight w:val="890"/>
        </w:trPr>
        <w:tc>
          <w:tcPr>
            <w:tcW w:w="1672" w:type="dxa"/>
            <w:vAlign w:val="center"/>
          </w:tcPr>
          <w:p w14:paraId="7D3B0567" w14:textId="44EE74FA" w:rsidR="00F1574D" w:rsidRPr="007D69B8" w:rsidRDefault="009D4199" w:rsidP="007D69B8">
            <w:pPr>
              <w:spacing w:before="120" w:after="120" w:line="260" w:lineRule="atLeast"/>
              <w:jc w:val="center"/>
              <w:rPr>
                <w:rFonts w:ascii="Verdana" w:hAnsi="Verdana"/>
                <w:sz w:val="18"/>
                <w:szCs w:val="18"/>
              </w:rPr>
            </w:pPr>
            <w:r w:rsidRPr="007D69B8">
              <w:rPr>
                <w:rFonts w:ascii="Verdana" w:hAnsi="Verdana"/>
                <w:sz w:val="18"/>
                <w:szCs w:val="18"/>
              </w:rPr>
              <w:t xml:space="preserve">185 </w:t>
            </w:r>
            <w:r w:rsidR="00334BD0" w:rsidRPr="007D69B8">
              <w:rPr>
                <w:rFonts w:ascii="Verdana" w:hAnsi="Verdana"/>
                <w:sz w:val="18"/>
                <w:szCs w:val="18"/>
              </w:rPr>
              <w:t xml:space="preserve">– </w:t>
            </w:r>
            <w:r w:rsidRPr="007D69B8">
              <w:rPr>
                <w:rFonts w:ascii="Verdana" w:hAnsi="Verdana"/>
                <w:sz w:val="18"/>
                <w:szCs w:val="18"/>
              </w:rPr>
              <w:t>187</w:t>
            </w:r>
          </w:p>
          <w:p w14:paraId="00098EC4" w14:textId="6962E5A6" w:rsidR="00334BD0" w:rsidRPr="007D69B8" w:rsidRDefault="00423FE9" w:rsidP="007D69B8">
            <w:pPr>
              <w:spacing w:before="120" w:after="120" w:line="260" w:lineRule="atLeast"/>
              <w:jc w:val="center"/>
              <w:rPr>
                <w:rFonts w:ascii="Verdana" w:hAnsi="Verdana"/>
                <w:sz w:val="18"/>
                <w:szCs w:val="18"/>
              </w:rPr>
            </w:pPr>
            <w:r w:rsidRPr="007D69B8">
              <w:rPr>
                <w:rFonts w:ascii="Verdana" w:hAnsi="Verdana"/>
                <w:sz w:val="18"/>
                <w:szCs w:val="18"/>
                <w:lang w:val="mk-MK"/>
              </w:rPr>
              <w:t>Важни слајдови</w:t>
            </w:r>
          </w:p>
        </w:tc>
        <w:tc>
          <w:tcPr>
            <w:tcW w:w="7485" w:type="dxa"/>
            <w:gridSpan w:val="2"/>
            <w:vAlign w:val="center"/>
          </w:tcPr>
          <w:p w14:paraId="09B693A1" w14:textId="11DA7D3C" w:rsidR="00556D69" w:rsidRPr="007D69B8" w:rsidRDefault="00423FE9" w:rsidP="007D69B8">
            <w:pPr>
              <w:spacing w:before="120" w:after="120" w:line="260" w:lineRule="atLeast"/>
              <w:jc w:val="both"/>
              <w:rPr>
                <w:rFonts w:ascii="Verdana" w:hAnsi="Verdana"/>
                <w:sz w:val="18"/>
                <w:szCs w:val="18"/>
              </w:rPr>
            </w:pPr>
            <w:r w:rsidRPr="007D69B8">
              <w:rPr>
                <w:rFonts w:ascii="Verdana" w:hAnsi="Verdana"/>
                <w:sz w:val="18"/>
                <w:szCs w:val="18"/>
                <w:lang w:val="mk-MK"/>
              </w:rPr>
              <w:t xml:space="preserve">Обучувачот треба да ги повтори целите на сесијата со </w:t>
            </w:r>
            <w:r w:rsidR="00DF3AD6" w:rsidRPr="007D69B8">
              <w:rPr>
                <w:rFonts w:ascii="Verdana" w:hAnsi="Verdana"/>
                <w:sz w:val="18"/>
                <w:szCs w:val="18"/>
                <w:lang w:val="mk-MK"/>
              </w:rPr>
              <w:t>претставници</w:t>
            </w:r>
            <w:r w:rsidRPr="007D69B8">
              <w:rPr>
                <w:rFonts w:ascii="Verdana" w:hAnsi="Verdana"/>
                <w:sz w:val="18"/>
                <w:szCs w:val="18"/>
                <w:lang w:val="mk-MK"/>
              </w:rPr>
              <w:t>те и да им даде можност да постават какви било прашања во врска со материјалите опфатени во овој модул.</w:t>
            </w:r>
          </w:p>
        </w:tc>
      </w:tr>
      <w:tr w:rsidR="00CB3026" w:rsidRPr="007D69B8" w14:paraId="2ECF09B7" w14:textId="77777777" w:rsidTr="007B0A96">
        <w:trPr>
          <w:trHeight w:val="890"/>
        </w:trPr>
        <w:tc>
          <w:tcPr>
            <w:tcW w:w="9157" w:type="dxa"/>
            <w:gridSpan w:val="3"/>
            <w:vAlign w:val="center"/>
          </w:tcPr>
          <w:p w14:paraId="55ED1F4B" w14:textId="327520F0" w:rsidR="00CB3026" w:rsidRPr="007D69B8" w:rsidRDefault="00423FE9" w:rsidP="007D69B8">
            <w:pPr>
              <w:spacing w:before="120" w:after="120" w:line="260" w:lineRule="atLeast"/>
              <w:rPr>
                <w:rFonts w:ascii="Verdana" w:hAnsi="Verdana"/>
                <w:b/>
                <w:sz w:val="22"/>
                <w:szCs w:val="22"/>
              </w:rPr>
            </w:pPr>
            <w:r w:rsidRPr="007D69B8">
              <w:rPr>
                <w:rFonts w:ascii="Verdana" w:hAnsi="Verdana"/>
                <w:b/>
                <w:sz w:val="22"/>
                <w:szCs w:val="22"/>
                <w:lang w:val="mk-MK"/>
              </w:rPr>
              <w:t>Практични вежби</w:t>
            </w:r>
          </w:p>
          <w:p w14:paraId="04D65D89" w14:textId="527D73CC" w:rsidR="00CB3026" w:rsidRPr="007D69B8" w:rsidRDefault="00423FE9" w:rsidP="007D69B8">
            <w:pPr>
              <w:spacing w:before="120" w:after="120" w:line="260" w:lineRule="atLeast"/>
              <w:rPr>
                <w:rFonts w:ascii="Verdana" w:hAnsi="Verdana"/>
                <w:color w:val="000000" w:themeColor="text1"/>
                <w:sz w:val="18"/>
                <w:szCs w:val="18"/>
              </w:rPr>
            </w:pPr>
            <w:r w:rsidRPr="007D69B8">
              <w:rPr>
                <w:rFonts w:ascii="Verdana" w:hAnsi="Verdana"/>
                <w:color w:val="000000" w:themeColor="text1"/>
                <w:sz w:val="18"/>
                <w:szCs w:val="18"/>
                <w:lang w:val="mk-MK"/>
              </w:rPr>
              <w:t>Нема практични вежби поврзани со оваа лекција.</w:t>
            </w:r>
          </w:p>
        </w:tc>
      </w:tr>
      <w:tr w:rsidR="00CB3026" w:rsidRPr="007D69B8" w14:paraId="603967A2" w14:textId="77777777" w:rsidTr="007B0A96">
        <w:tc>
          <w:tcPr>
            <w:tcW w:w="9157" w:type="dxa"/>
            <w:gridSpan w:val="3"/>
            <w:vAlign w:val="center"/>
          </w:tcPr>
          <w:p w14:paraId="57B48D1E" w14:textId="31D0466E" w:rsidR="00CB3026" w:rsidRPr="007D69B8" w:rsidRDefault="00423FE9" w:rsidP="007D69B8">
            <w:pPr>
              <w:spacing w:before="120" w:after="120" w:line="260" w:lineRule="atLeast"/>
              <w:rPr>
                <w:rFonts w:ascii="Verdana" w:hAnsi="Verdana"/>
                <w:b/>
                <w:sz w:val="22"/>
                <w:szCs w:val="22"/>
              </w:rPr>
            </w:pPr>
            <w:r w:rsidRPr="007D69B8">
              <w:rPr>
                <w:rFonts w:ascii="Verdana" w:hAnsi="Verdana"/>
                <w:b/>
                <w:sz w:val="22"/>
                <w:szCs w:val="22"/>
                <w:lang w:val="mk-MK"/>
              </w:rPr>
              <w:t>Проценка/Проверување на знаење</w:t>
            </w:r>
          </w:p>
          <w:p w14:paraId="4496975B" w14:textId="1E2AC454" w:rsidR="00CB3026" w:rsidRPr="007D69B8" w:rsidRDefault="00423FE9" w:rsidP="007D69B8">
            <w:pPr>
              <w:spacing w:before="120" w:after="120" w:line="260" w:lineRule="atLeast"/>
              <w:rPr>
                <w:rFonts w:ascii="Verdana" w:hAnsi="Verdana"/>
                <w:color w:val="000000" w:themeColor="text1"/>
                <w:sz w:val="18"/>
                <w:szCs w:val="18"/>
              </w:rPr>
            </w:pPr>
            <w:r w:rsidRPr="007D69B8">
              <w:rPr>
                <w:rFonts w:ascii="Verdana" w:hAnsi="Verdana"/>
                <w:color w:val="000000" w:themeColor="text1"/>
                <w:sz w:val="18"/>
                <w:szCs w:val="18"/>
                <w:lang w:val="mk-MK"/>
              </w:rPr>
              <w:t>За оваа сесија не е потребна проверка или проценка на знаењето.</w:t>
            </w:r>
          </w:p>
        </w:tc>
      </w:tr>
    </w:tbl>
    <w:p w14:paraId="15498912" w14:textId="77777777" w:rsidR="00D82C18" w:rsidRPr="007D69B8" w:rsidRDefault="00D82C18" w:rsidP="007D69B8">
      <w:pPr>
        <w:spacing w:before="120" w:after="120" w:line="260" w:lineRule="atLeast"/>
        <w:rPr>
          <w:rFonts w:ascii="Verdana" w:hAnsi="Verdana"/>
        </w:rPr>
      </w:pPr>
    </w:p>
    <w:sectPr w:rsidR="00D82C18" w:rsidRPr="007D69B8" w:rsidSect="00F1574D">
      <w:headerReference w:type="even" r:id="rId8"/>
      <w:headerReference w:type="default" r:id="rId9"/>
      <w:footerReference w:type="even" r:id="rId10"/>
      <w:footerReference w:type="default" r:id="rId11"/>
      <w:headerReference w:type="first" r:id="rId12"/>
      <w:footerReference w:type="first" r:id="rId13"/>
      <w:pgSz w:w="11900" w:h="16840"/>
      <w:pgMar w:top="783" w:right="1440" w:bottom="11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BA761" w14:textId="77777777" w:rsidR="009E0592" w:rsidRDefault="009E0592" w:rsidP="00337D51">
      <w:r>
        <w:separator/>
      </w:r>
    </w:p>
  </w:endnote>
  <w:endnote w:type="continuationSeparator" w:id="0">
    <w:p w14:paraId="4C61DCA6" w14:textId="77777777" w:rsidR="009E0592" w:rsidRDefault="009E0592" w:rsidP="0033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6CBA6" w14:textId="77777777" w:rsidR="00337D51" w:rsidRDefault="00337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4D9D0" w14:textId="77777777" w:rsidR="00337D51" w:rsidRDefault="00337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A0BFB" w14:textId="77777777" w:rsidR="00337D51" w:rsidRDefault="0033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030FA" w14:textId="77777777" w:rsidR="009E0592" w:rsidRDefault="009E0592" w:rsidP="00337D51">
      <w:r>
        <w:separator/>
      </w:r>
    </w:p>
  </w:footnote>
  <w:footnote w:type="continuationSeparator" w:id="0">
    <w:p w14:paraId="2694CB97" w14:textId="77777777" w:rsidR="009E0592" w:rsidRDefault="009E0592" w:rsidP="00337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C54D1" w14:textId="77777777" w:rsidR="00337D51" w:rsidRDefault="00337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4472" w14:textId="77777777" w:rsidR="00337D51" w:rsidRDefault="00337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A5313" w14:textId="77777777" w:rsidR="00337D51" w:rsidRDefault="00337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7"/>
  </w:num>
  <w:num w:numId="5">
    <w:abstractNumId w:val="8"/>
  </w:num>
  <w:num w:numId="6">
    <w:abstractNumId w:val="14"/>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3"/>
  </w:num>
  <w:num w:numId="10">
    <w:abstractNumId w:val="1"/>
  </w:num>
  <w:num w:numId="11">
    <w:abstractNumId w:val="12"/>
  </w:num>
  <w:num w:numId="12">
    <w:abstractNumId w:val="10"/>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51376"/>
    <w:rsid w:val="000545D3"/>
    <w:rsid w:val="000C40EE"/>
    <w:rsid w:val="000D0409"/>
    <w:rsid w:val="000F04E4"/>
    <w:rsid w:val="000F7896"/>
    <w:rsid w:val="001369CE"/>
    <w:rsid w:val="001D603D"/>
    <w:rsid w:val="001E7389"/>
    <w:rsid w:val="00271010"/>
    <w:rsid w:val="002D52FC"/>
    <w:rsid w:val="002E3ECE"/>
    <w:rsid w:val="002F3B54"/>
    <w:rsid w:val="00314D32"/>
    <w:rsid w:val="00334BD0"/>
    <w:rsid w:val="00337D51"/>
    <w:rsid w:val="0034224C"/>
    <w:rsid w:val="00342639"/>
    <w:rsid w:val="003453F7"/>
    <w:rsid w:val="00354496"/>
    <w:rsid w:val="003630ED"/>
    <w:rsid w:val="003A435F"/>
    <w:rsid w:val="003C51FE"/>
    <w:rsid w:val="003E2876"/>
    <w:rsid w:val="003F6587"/>
    <w:rsid w:val="00423FE9"/>
    <w:rsid w:val="00437AF3"/>
    <w:rsid w:val="00450007"/>
    <w:rsid w:val="0045630D"/>
    <w:rsid w:val="00457DD3"/>
    <w:rsid w:val="00473D36"/>
    <w:rsid w:val="00482B64"/>
    <w:rsid w:val="00487263"/>
    <w:rsid w:val="004B3289"/>
    <w:rsid w:val="004B7351"/>
    <w:rsid w:val="00514FE0"/>
    <w:rsid w:val="00556D69"/>
    <w:rsid w:val="005703B7"/>
    <w:rsid w:val="005A4E47"/>
    <w:rsid w:val="005D2065"/>
    <w:rsid w:val="005D4432"/>
    <w:rsid w:val="0062475C"/>
    <w:rsid w:val="00637AFB"/>
    <w:rsid w:val="006527C6"/>
    <w:rsid w:val="00671ADF"/>
    <w:rsid w:val="00680264"/>
    <w:rsid w:val="006B0B52"/>
    <w:rsid w:val="006F06F9"/>
    <w:rsid w:val="0075334E"/>
    <w:rsid w:val="007678A6"/>
    <w:rsid w:val="007B0A96"/>
    <w:rsid w:val="007B1154"/>
    <w:rsid w:val="007D69B8"/>
    <w:rsid w:val="007E3B3E"/>
    <w:rsid w:val="007F4E03"/>
    <w:rsid w:val="0084446A"/>
    <w:rsid w:val="00844FBF"/>
    <w:rsid w:val="008817F1"/>
    <w:rsid w:val="00881F77"/>
    <w:rsid w:val="008A4C93"/>
    <w:rsid w:val="008C3900"/>
    <w:rsid w:val="008E3FE7"/>
    <w:rsid w:val="009054B7"/>
    <w:rsid w:val="00906F18"/>
    <w:rsid w:val="0095051C"/>
    <w:rsid w:val="00951791"/>
    <w:rsid w:val="009B4375"/>
    <w:rsid w:val="009D1DB1"/>
    <w:rsid w:val="009D4199"/>
    <w:rsid w:val="009E0592"/>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BF6C7C"/>
    <w:rsid w:val="00C115FC"/>
    <w:rsid w:val="00C45A81"/>
    <w:rsid w:val="00C541A2"/>
    <w:rsid w:val="00C70C5C"/>
    <w:rsid w:val="00CA7AE4"/>
    <w:rsid w:val="00CB02C4"/>
    <w:rsid w:val="00CB3026"/>
    <w:rsid w:val="00CB708C"/>
    <w:rsid w:val="00CC1F79"/>
    <w:rsid w:val="00CD37F4"/>
    <w:rsid w:val="00CE67EA"/>
    <w:rsid w:val="00D01990"/>
    <w:rsid w:val="00D0598A"/>
    <w:rsid w:val="00D57822"/>
    <w:rsid w:val="00D669F8"/>
    <w:rsid w:val="00D82C18"/>
    <w:rsid w:val="00DF3AD6"/>
    <w:rsid w:val="00E13BE7"/>
    <w:rsid w:val="00E23013"/>
    <w:rsid w:val="00E243AE"/>
    <w:rsid w:val="00E31F52"/>
    <w:rsid w:val="00E7344B"/>
    <w:rsid w:val="00E95703"/>
    <w:rsid w:val="00EB21C2"/>
    <w:rsid w:val="00F02072"/>
    <w:rsid w:val="00F1574D"/>
    <w:rsid w:val="00F342D3"/>
    <w:rsid w:val="00F504D6"/>
    <w:rsid w:val="00F62A15"/>
    <w:rsid w:val="00F955B5"/>
    <w:rsid w:val="00FA5D5D"/>
    <w:rsid w:val="00FB24E8"/>
    <w:rsid w:val="00FB6DE5"/>
    <w:rsid w:val="00FE45CA"/>
    <w:rsid w:val="00FF0BE6"/>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30"/>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customStyle="1" w:styleId="UnresolvedMention1">
    <w:name w:val="Unresolved Mention1"/>
    <w:basedOn w:val="DefaultParagraphFont"/>
    <w:uiPriority w:val="99"/>
    <w:semiHidden/>
    <w:unhideWhenUsed/>
    <w:rsid w:val="00FF2976"/>
    <w:rPr>
      <w:color w:val="605E5C"/>
      <w:shd w:val="clear" w:color="auto" w:fill="E1DFDD"/>
    </w:rPr>
  </w:style>
  <w:style w:type="paragraph" w:styleId="Header">
    <w:name w:val="header"/>
    <w:basedOn w:val="Normal"/>
    <w:link w:val="HeaderChar"/>
    <w:uiPriority w:val="99"/>
    <w:unhideWhenUsed/>
    <w:rsid w:val="00337D51"/>
    <w:pPr>
      <w:tabs>
        <w:tab w:val="center" w:pos="4680"/>
        <w:tab w:val="right" w:pos="9360"/>
      </w:tabs>
    </w:pPr>
  </w:style>
  <w:style w:type="character" w:customStyle="1" w:styleId="HeaderChar">
    <w:name w:val="Header Char"/>
    <w:basedOn w:val="DefaultParagraphFont"/>
    <w:link w:val="Header"/>
    <w:uiPriority w:val="99"/>
    <w:rsid w:val="00337D51"/>
  </w:style>
  <w:style w:type="paragraph" w:styleId="Footer">
    <w:name w:val="footer"/>
    <w:basedOn w:val="Normal"/>
    <w:link w:val="FooterChar"/>
    <w:uiPriority w:val="99"/>
    <w:unhideWhenUsed/>
    <w:rsid w:val="00337D51"/>
    <w:pPr>
      <w:tabs>
        <w:tab w:val="center" w:pos="4680"/>
        <w:tab w:val="right" w:pos="9360"/>
      </w:tabs>
    </w:pPr>
  </w:style>
  <w:style w:type="character" w:customStyle="1" w:styleId="FooterChar">
    <w:name w:val="Footer Char"/>
    <w:basedOn w:val="DefaultParagraphFont"/>
    <w:link w:val="Footer"/>
    <w:uiPriority w:val="99"/>
    <w:rsid w:val="00337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A7F3-CC29-449E-A1EF-5E9614BE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CEAUSU Diana</cp:lastModifiedBy>
  <cp:revision>3</cp:revision>
  <dcterms:created xsi:type="dcterms:W3CDTF">2021-05-07T14:02:00Z</dcterms:created>
  <dcterms:modified xsi:type="dcterms:W3CDTF">2021-05-10T08:17:00Z</dcterms:modified>
</cp:coreProperties>
</file>