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38B3D841" w:rsidR="00D82C18" w:rsidRPr="00621DF7" w:rsidRDefault="008E6EAE" w:rsidP="00621DF7">
      <w:pPr>
        <w:spacing w:before="120" w:after="120" w:line="260" w:lineRule="atLeast"/>
        <w:rPr>
          <w:rFonts w:ascii="Verdana" w:hAnsi="Verdana"/>
          <w:b/>
          <w:bCs/>
          <w:sz w:val="28"/>
          <w:lang w:val="en-US"/>
        </w:rPr>
      </w:pPr>
      <w:r w:rsidRPr="00621DF7">
        <w:rPr>
          <w:rFonts w:ascii="Verdana" w:hAnsi="Verdana"/>
          <w:b/>
          <w:bCs/>
          <w:sz w:val="28"/>
          <w:szCs w:val="28"/>
          <w:lang w:val="mk-MK"/>
        </w:rPr>
        <w:t xml:space="preserve">Лекција 1.5 Постапки </w:t>
      </w:r>
      <w:r w:rsidR="0049153A" w:rsidRPr="00621DF7">
        <w:rPr>
          <w:rFonts w:ascii="Verdana" w:hAnsi="Verdana"/>
          <w:b/>
          <w:bCs/>
          <w:sz w:val="28"/>
          <w:szCs w:val="28"/>
          <w:lang w:val="mk-MK"/>
        </w:rPr>
        <w:t>и пракса за заемна правна помош</w:t>
      </w:r>
    </w:p>
    <w:p w14:paraId="1D0E3DC5" w14:textId="77777777" w:rsidR="00C115FC" w:rsidRPr="00621DF7" w:rsidRDefault="00C115FC" w:rsidP="00621DF7">
      <w:pPr>
        <w:spacing w:before="120" w:after="120" w:line="260" w:lineRule="atLeast"/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621DF7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667C13A5" w:rsidR="00D82C18" w:rsidRPr="00621DF7" w:rsidRDefault="008E6EAE" w:rsidP="00621DF7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  <w:lang w:val="en-US"/>
              </w:rPr>
            </w:pPr>
            <w:r w:rsidRPr="00621DF7">
              <w:rPr>
                <w:rFonts w:ascii="Verdana" w:hAnsi="Verdana"/>
                <w:sz w:val="22"/>
                <w:szCs w:val="22"/>
                <w:lang w:val="mk-MK"/>
              </w:rPr>
              <w:t>Лекција 1.5 Постапки и пракса за заемна правна помош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4F987CD4" w:rsidR="00D82C18" w:rsidRPr="00621DF7" w:rsidRDefault="008E6EAE" w:rsidP="00621DF7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621DF7">
              <w:rPr>
                <w:rFonts w:ascii="Verdana" w:hAnsi="Verdana"/>
                <w:sz w:val="22"/>
                <w:szCs w:val="22"/>
                <w:lang w:val="mk-MK"/>
              </w:rPr>
              <w:t>Времетраење:</w:t>
            </w:r>
            <w:r w:rsidR="00D82C18" w:rsidRPr="00621DF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21DF7">
              <w:rPr>
                <w:rFonts w:ascii="Verdana" w:hAnsi="Verdana"/>
                <w:color w:val="000000" w:themeColor="text1"/>
                <w:sz w:val="22"/>
                <w:szCs w:val="22"/>
                <w:lang w:val="mk-MK"/>
              </w:rPr>
              <w:t>90 минути</w:t>
            </w:r>
            <w:r w:rsidR="00E13BE7" w:rsidRPr="00621DF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344B" w:rsidRPr="00621DF7" w14:paraId="7C1107AB" w14:textId="77777777" w:rsidTr="00B56791">
        <w:trPr>
          <w:trHeight w:val="1376"/>
        </w:trPr>
        <w:tc>
          <w:tcPr>
            <w:tcW w:w="9010" w:type="dxa"/>
            <w:gridSpan w:val="3"/>
            <w:vAlign w:val="center"/>
          </w:tcPr>
          <w:p w14:paraId="0B1C3404" w14:textId="27F9B439" w:rsidR="00E7344B" w:rsidRPr="00621DF7" w:rsidRDefault="008E6EAE" w:rsidP="00621DF7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621DF7">
              <w:rPr>
                <w:rFonts w:ascii="Verdana" w:hAnsi="Verdana"/>
                <w:b/>
                <w:sz w:val="22"/>
                <w:szCs w:val="22"/>
                <w:lang w:val="mk-MK"/>
              </w:rPr>
              <w:t>Потребни средства:</w:t>
            </w:r>
            <w:r w:rsidR="00E13BE7" w:rsidRPr="00621DF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60400D8" w14:textId="1F941D68" w:rsidR="000F7896" w:rsidRPr="00621DF7" w:rsidRDefault="008E6EAE" w:rsidP="00621DF7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621DF7">
              <w:rPr>
                <w:lang w:val="mk-MK"/>
              </w:rPr>
              <w:t>Персонален компјутер/</w:t>
            </w:r>
            <w:r w:rsidR="001614CC" w:rsidRPr="00621DF7">
              <w:rPr>
                <w:lang w:val="mk-MK"/>
              </w:rPr>
              <w:t>л</w:t>
            </w:r>
            <w:r w:rsidRPr="00621DF7">
              <w:rPr>
                <w:lang w:val="mk-MK"/>
              </w:rPr>
              <w:t>аптоп опремен со софтверски верзии компатибилни со подготвените материјали</w:t>
            </w:r>
            <w:r w:rsidR="000F7896" w:rsidRPr="00621DF7">
              <w:rPr>
                <w:lang w:val="en-GB"/>
              </w:rPr>
              <w:t xml:space="preserve"> </w:t>
            </w:r>
          </w:p>
          <w:p w14:paraId="62A10C2C" w14:textId="24C61628" w:rsidR="000F7896" w:rsidRPr="00621DF7" w:rsidRDefault="008E6EAE" w:rsidP="00621DF7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621DF7">
              <w:rPr>
                <w:lang w:val="mk-MK"/>
              </w:rPr>
              <w:t>Интернет пристап (доколку е достапен)</w:t>
            </w:r>
            <w:r w:rsidR="000F7896" w:rsidRPr="00621DF7">
              <w:rPr>
                <w:lang w:val="en-GB"/>
              </w:rPr>
              <w:t xml:space="preserve"> </w:t>
            </w:r>
          </w:p>
          <w:p w14:paraId="14CF9EF0" w14:textId="1C0C7695" w:rsidR="000F7896" w:rsidRPr="00621DF7" w:rsidRDefault="008E6EAE" w:rsidP="00621DF7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621DF7">
              <w:rPr>
                <w:lang w:val="mk-MK"/>
              </w:rPr>
              <w:t>PowerPoint или друг софтвер за презентации</w:t>
            </w:r>
          </w:p>
        </w:tc>
      </w:tr>
      <w:tr w:rsidR="00E7344B" w:rsidRPr="00621DF7" w14:paraId="635F2EFD" w14:textId="77777777" w:rsidTr="004D35F1">
        <w:trPr>
          <w:trHeight w:val="2051"/>
        </w:trPr>
        <w:tc>
          <w:tcPr>
            <w:tcW w:w="9010" w:type="dxa"/>
            <w:gridSpan w:val="3"/>
            <w:vAlign w:val="center"/>
          </w:tcPr>
          <w:p w14:paraId="34602AF3" w14:textId="4450119E" w:rsidR="00A03CF0" w:rsidRPr="00621DF7" w:rsidRDefault="008E6EAE" w:rsidP="00621DF7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621DF7">
              <w:rPr>
                <w:rFonts w:ascii="Verdana" w:hAnsi="Verdana"/>
                <w:b/>
                <w:sz w:val="22"/>
                <w:szCs w:val="22"/>
                <w:lang w:val="mk-MK"/>
              </w:rPr>
              <w:t>Цел на сесијата:</w:t>
            </w:r>
            <w:r w:rsidR="00A03CF0" w:rsidRPr="00621DF7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0D3FFDDD" w14:textId="252DF172" w:rsidR="00B56791" w:rsidRPr="00621DF7" w:rsidRDefault="008E6EAE" w:rsidP="00621DF7">
            <w:pPr>
              <w:spacing w:before="120" w:after="120" w:line="260" w:lineRule="atLeast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621DF7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Сесијата се стреми кон дискусија за концептот на постапки, пракса и екстрадиција за </w:t>
            </w:r>
            <w:r w:rsidR="001614CC" w:rsidRPr="00621DF7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з</w:t>
            </w:r>
            <w:r w:rsidRPr="00621DF7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аемна правна помош (ЗПП); </w:t>
            </w:r>
            <w:r w:rsidR="0049153A" w:rsidRPr="00621DF7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актуелните</w:t>
            </w:r>
            <w:r w:rsidRPr="00621DF7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 предизвици на процесот на ЗПП и како различните правни системи можат да влијаат на ефикасноста на процесот на ЗПП.</w:t>
            </w:r>
            <w:r w:rsidR="00B56791" w:rsidRPr="00621DF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 </w:t>
            </w:r>
          </w:p>
          <w:p w14:paraId="3FE58655" w14:textId="6E94688B" w:rsidR="00A03CF0" w:rsidRPr="00621DF7" w:rsidRDefault="0049153A" w:rsidP="00621DF7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Постапката за ЗПП може да се надополни и со п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остапк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ите за соработка на приватни субјекти, бидејќи некои од формалните аспекти потекнуваат од Конвенцијата и националните закони, на пример, директна соработка со давателите на интернет услуги.</w:t>
            </w:r>
          </w:p>
        </w:tc>
      </w:tr>
      <w:tr w:rsidR="00A03CF0" w:rsidRPr="00621DF7" w14:paraId="1B5A80A7" w14:textId="77777777" w:rsidTr="00F1338F">
        <w:trPr>
          <w:trHeight w:val="5894"/>
        </w:trPr>
        <w:tc>
          <w:tcPr>
            <w:tcW w:w="9010" w:type="dxa"/>
            <w:gridSpan w:val="3"/>
          </w:tcPr>
          <w:p w14:paraId="559A7E05" w14:textId="0AB734E3" w:rsidR="00A03CF0" w:rsidRPr="00621DF7" w:rsidRDefault="008E6EAE" w:rsidP="00621DF7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621DF7">
              <w:rPr>
                <w:rFonts w:ascii="Verdana" w:hAnsi="Verdana"/>
                <w:b/>
                <w:sz w:val="18"/>
                <w:szCs w:val="18"/>
                <w:lang w:val="mk-MK"/>
              </w:rPr>
              <w:t>Цели:</w:t>
            </w:r>
          </w:p>
          <w:p w14:paraId="6B3AB4EA" w14:textId="3174A109" w:rsidR="00B56791" w:rsidRPr="00621DF7" w:rsidRDefault="0076167F" w:rsidP="00621DF7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подобро разбирање на праксата и постапките на Заемната правна помош</w:t>
            </w:r>
          </w:p>
          <w:p w14:paraId="463B7237" w14:textId="38D7923D" w:rsidR="00B56791" w:rsidRPr="00621DF7" w:rsidRDefault="0076167F" w:rsidP="00621DF7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да се </w:t>
            </w:r>
            <w:r w:rsidR="0049153A" w:rsidRPr="00621DF7">
              <w:rPr>
                <w:rFonts w:ascii="Verdana" w:hAnsi="Verdana"/>
                <w:sz w:val="18"/>
                <w:szCs w:val="18"/>
                <w:lang w:val="mk-MK"/>
              </w:rPr>
              <w:t>науч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ат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предизвиците на процесот на ЗПП и што и како влијае на ефикасноста на истиот</w:t>
            </w:r>
          </w:p>
          <w:p w14:paraId="71996F89" w14:textId="06EB48C1" w:rsidR="00B56791" w:rsidRPr="00621DF7" w:rsidRDefault="0076167F" w:rsidP="00621DF7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да се науч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ат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инструментите за соработка, стандардите и комуникациските канали </w:t>
            </w:r>
          </w:p>
          <w:p w14:paraId="0B05919F" w14:textId="1B30DD19" w:rsidR="00B56791" w:rsidRPr="00621DF7" w:rsidRDefault="0076167F" w:rsidP="00621DF7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да се разбере кои се различните законски барања</w:t>
            </w:r>
            <w:r w:rsidR="00B56791" w:rsidRPr="00621DF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2F47B0F" w14:textId="1452FF6C" w:rsidR="00B56791" w:rsidRPr="00621DF7" w:rsidRDefault="0076167F" w:rsidP="00621DF7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да се науч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ат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постојните проценки на ЗПП и да се подигне свеста за препораките за тоа како да се подобри процесот</w:t>
            </w:r>
          </w:p>
          <w:p w14:paraId="61ABEAC5" w14:textId="32CD14C2" w:rsidR="004D35F1" w:rsidRPr="00621DF7" w:rsidRDefault="0076167F" w:rsidP="00621DF7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да се подобрат знаењата за постојните алатки за поддршка</w:t>
            </w:r>
          </w:p>
        </w:tc>
      </w:tr>
      <w:tr w:rsidR="005703B7" w:rsidRPr="00621DF7" w14:paraId="03110757" w14:textId="77777777" w:rsidTr="00D62E5F">
        <w:trPr>
          <w:trHeight w:val="323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00A21D4A" w:rsidR="005703B7" w:rsidRPr="00621DF7" w:rsidRDefault="0076167F" w:rsidP="00621DF7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21DF7">
              <w:rPr>
                <w:rFonts w:ascii="Verdana" w:hAnsi="Verdana"/>
                <w:b/>
                <w:color w:val="000000" w:themeColor="text1"/>
                <w:sz w:val="18"/>
                <w:szCs w:val="18"/>
                <w:lang w:val="mk-MK"/>
              </w:rPr>
              <w:lastRenderedPageBreak/>
              <w:t>Упатство за обучувачи</w:t>
            </w:r>
          </w:p>
          <w:p w14:paraId="78A89A10" w14:textId="664A45F2" w:rsidR="00463FE7" w:rsidRPr="00621DF7" w:rsidRDefault="0076167F" w:rsidP="00621DF7">
            <w:pPr>
              <w:spacing w:before="120" w:after="120" w:line="260" w:lineRule="atLeast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621DF7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mk-MK"/>
              </w:rPr>
              <w:t>За време на сесијата треба да се разгледаат следните теми:</w:t>
            </w:r>
          </w:p>
          <w:p w14:paraId="77B2306C" w14:textId="4A6A393E" w:rsidR="00463FE7" w:rsidRPr="00621DF7" w:rsidRDefault="00836C68" w:rsidP="00621DF7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Инструментите за меѓународна соработка, стандардите</w:t>
            </w:r>
            <w:r w:rsidR="0049153A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и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комуникациските </w:t>
            </w:r>
            <w:r w:rsidR="0049153A" w:rsidRPr="00621DF7">
              <w:rPr>
                <w:rFonts w:ascii="Verdana" w:hAnsi="Verdana"/>
                <w:sz w:val="18"/>
                <w:szCs w:val="18"/>
                <w:lang w:val="mk-MK"/>
              </w:rPr>
              <w:t>к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анали, вклучувајќи билатерални, мултилатерални и меѓународни договори, со посебен поглед на Конвенцијата од Будимпешта</w:t>
            </w:r>
          </w:p>
          <w:p w14:paraId="05061637" w14:textId="6822ED24" w:rsidR="00463FE7" w:rsidRPr="00621DF7" w:rsidRDefault="00836C68" w:rsidP="00621DF7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Комуникациските канали треба да вклучуваат директен пренос и пренос помеѓу централните власти, дипломатскиот и Интерпол к</w:t>
            </w:r>
            <w:r w:rsidR="00164999" w:rsidRPr="00621DF7">
              <w:rPr>
                <w:rFonts w:ascii="Verdana" w:hAnsi="Verdana"/>
                <w:sz w:val="18"/>
                <w:szCs w:val="18"/>
                <w:lang w:val="mk-MK"/>
              </w:rPr>
              <w:t>анал и експедитивните комуникации</w:t>
            </w:r>
          </w:p>
          <w:p w14:paraId="7F6AF4E0" w14:textId="3B93BDCC" w:rsidR="00463FE7" w:rsidRPr="00621DF7" w:rsidRDefault="00836C68" w:rsidP="00621DF7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Законските барања и размислувања за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аемна</w:t>
            </w:r>
            <w:r w:rsidR="00164999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правна помош, вклучувајќи формулар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за барање, содржина, дополнителни информации и примена на домашното право</w:t>
            </w:r>
          </w:p>
          <w:p w14:paraId="7C93539F" w14:textId="417CC9C8" w:rsidR="00463FE7" w:rsidRPr="00621DF7" w:rsidRDefault="00836C68" w:rsidP="00621DF7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Разглед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аното</w:t>
            </w:r>
            <w:r w:rsidR="00164999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треба да вклучува прашања за страната барател и за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замолена</w:t>
            </w:r>
            <w:r w:rsidR="00164999" w:rsidRPr="00621DF7">
              <w:rPr>
                <w:rFonts w:ascii="Verdana" w:hAnsi="Verdana"/>
                <w:sz w:val="18"/>
                <w:szCs w:val="18"/>
                <w:lang w:val="mk-MK"/>
              </w:rPr>
              <w:t>та страна</w:t>
            </w:r>
          </w:p>
          <w:p w14:paraId="415A0E95" w14:textId="0305D7F3" w:rsidR="00463FE7" w:rsidRPr="00621DF7" w:rsidRDefault="00836C68" w:rsidP="00621DF7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Проценка на Советот на Европа за ЗПП и други одредби, препораки и постојни алатки за поддршка</w:t>
            </w:r>
          </w:p>
          <w:p w14:paraId="41C2B660" w14:textId="123A480B" w:rsidR="00D62E5F" w:rsidRPr="00621DF7" w:rsidRDefault="00836C68" w:rsidP="00621DF7">
            <w:pPr>
              <w:pStyle w:val="ListParagraph"/>
              <w:numPr>
                <w:ilvl w:val="0"/>
                <w:numId w:val="20"/>
              </w:numPr>
              <w:spacing w:before="120" w:after="120" w:line="260" w:lineRule="atLeast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Алатките за поддршка треба да се </w:t>
            </w:r>
            <w:r w:rsidR="00164999" w:rsidRPr="00621DF7">
              <w:rPr>
                <w:rFonts w:ascii="Verdana" w:hAnsi="Verdana"/>
                <w:sz w:val="18"/>
                <w:szCs w:val="18"/>
                <w:lang w:val="mk-MK"/>
              </w:rPr>
              <w:t>вежбаат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со </w:t>
            </w:r>
            <w:r w:rsidR="00164999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активна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интернет конекција</w:t>
            </w:r>
          </w:p>
          <w:p w14:paraId="5EFF4BEF" w14:textId="48B262C2" w:rsidR="00006EAD" w:rsidRPr="00621DF7" w:rsidRDefault="00006EAD" w:rsidP="00621DF7">
            <w:pPr>
              <w:widowControl w:val="0"/>
              <w:spacing w:before="120" w:after="120" w:line="260" w:lineRule="atLeast"/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5A4E47" w:rsidRPr="00621DF7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60EA7B67" w:rsidR="005A4E47" w:rsidRPr="00621DF7" w:rsidRDefault="00836C68" w:rsidP="00621DF7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621DF7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621DF7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1E8D121C" w:rsidR="00D82C18" w:rsidRPr="00621DF7" w:rsidRDefault="00836C68" w:rsidP="00621DF7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21DF7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24FC8108" w:rsidR="00D82C18" w:rsidRPr="00621DF7" w:rsidRDefault="00836C68" w:rsidP="00621DF7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621DF7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621DF7" w14:paraId="11A12D7E" w14:textId="77777777" w:rsidTr="00BD7897">
        <w:trPr>
          <w:trHeight w:val="1043"/>
        </w:trPr>
        <w:tc>
          <w:tcPr>
            <w:tcW w:w="1525" w:type="dxa"/>
            <w:vAlign w:val="center"/>
          </w:tcPr>
          <w:p w14:paraId="67083237" w14:textId="05EEE6FA" w:rsidR="00D82C18" w:rsidRPr="00621DF7" w:rsidRDefault="00836C68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1 до 3</w:t>
            </w:r>
          </w:p>
          <w:p w14:paraId="5A89CF27" w14:textId="71EEF2DB" w:rsidR="00F1574D" w:rsidRPr="00621DF7" w:rsidRDefault="00F1574D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85" w:type="dxa"/>
            <w:gridSpan w:val="2"/>
            <w:vAlign w:val="center"/>
          </w:tcPr>
          <w:p w14:paraId="36345B59" w14:textId="01867E61" w:rsidR="00556D69" w:rsidRPr="00621DF7" w:rsidRDefault="00836C68" w:rsidP="00621DF7">
            <w:pPr>
              <w:spacing w:before="120" w:after="120" w:line="260" w:lineRule="atLeast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и </w:t>
            </w:r>
            <w:r w:rsidR="00164999"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ги вклучуваат дневниот ред</w:t>
            </w:r>
            <w:r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 заедно со некои по</w:t>
            </w:r>
            <w:r w:rsidR="001614CC"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т-</w:t>
            </w:r>
            <w:r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теми за потсетување од Воведната обука.</w:t>
            </w:r>
            <w:r w:rsidR="00556D69" w:rsidRPr="00621DF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F1574D" w:rsidRPr="00621DF7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6F5AEB2D" w14:textId="26B234C1" w:rsidR="00F1574D" w:rsidRPr="00621DF7" w:rsidRDefault="00FE15D2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</w:rPr>
              <w:t>4</w:t>
            </w:r>
            <w:r w:rsidR="00151E6A" w:rsidRPr="00621DF7">
              <w:rPr>
                <w:rFonts w:ascii="Verdana" w:hAnsi="Verdana"/>
                <w:sz w:val="18"/>
                <w:szCs w:val="18"/>
              </w:rPr>
              <w:t xml:space="preserve"> - 7</w:t>
            </w:r>
          </w:p>
        </w:tc>
        <w:tc>
          <w:tcPr>
            <w:tcW w:w="7485" w:type="dxa"/>
            <w:gridSpan w:val="2"/>
            <w:vAlign w:val="center"/>
          </w:tcPr>
          <w:p w14:paraId="20813360" w14:textId="5BF6A41B" w:rsidR="00151E6A" w:rsidRPr="00621DF7" w:rsidRDefault="00A177BA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621DF7">
              <w:rPr>
                <w:rFonts w:ascii="Verdana" w:eastAsia="Times New Roman" w:hAnsi="Verdana"/>
                <w:szCs w:val="18"/>
                <w:lang w:val="mk-MK"/>
              </w:rPr>
              <w:t>О</w:t>
            </w:r>
            <w:r w:rsidR="008537C5" w:rsidRPr="00621DF7">
              <w:rPr>
                <w:rFonts w:ascii="Verdana" w:eastAsia="Times New Roman" w:hAnsi="Verdana"/>
                <w:szCs w:val="18"/>
                <w:lang w:val="mk-MK"/>
              </w:rPr>
              <w:t>вие слајдови го објаснуваат Д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оговорот за заемна правна помош (</w:t>
            </w:r>
            <w:r w:rsidR="001614CC" w:rsidRPr="00621DF7">
              <w:rPr>
                <w:rFonts w:ascii="Verdana" w:eastAsia="Times New Roman" w:hAnsi="Verdana"/>
                <w:szCs w:val="18"/>
                <w:lang w:val="en-US"/>
              </w:rPr>
              <w:t>MLAT/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ДЗПП) како договор </w:t>
            </w:r>
            <w:r w:rsidR="00CB6A16" w:rsidRPr="00621DF7">
              <w:rPr>
                <w:rFonts w:ascii="Verdana" w:eastAsia="Times New Roman" w:hAnsi="Verdana"/>
                <w:szCs w:val="18"/>
                <w:lang w:val="mk-MK"/>
              </w:rPr>
              <w:t>по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меѓу две или повеќе земји со цел собирање и размена на информации во обид за спроведување на јавните или кривичните закони.</w:t>
            </w:r>
            <w:r w:rsidR="00151E6A" w:rsidRPr="00621DF7">
              <w:rPr>
                <w:rFonts w:ascii="Verdana" w:eastAsia="Times New Roman" w:hAnsi="Verdana"/>
                <w:szCs w:val="18"/>
              </w:rPr>
              <w:t xml:space="preserve"> </w:t>
            </w:r>
            <w:r w:rsidR="00CB6A16" w:rsidRPr="00621DF7">
              <w:rPr>
                <w:rFonts w:ascii="Verdana" w:eastAsia="Times New Roman" w:hAnsi="Verdana"/>
                <w:szCs w:val="18"/>
                <w:lang w:val="mk-MK"/>
              </w:rPr>
              <w:t xml:space="preserve">Основното ниво за заемна правна помош е претставено </w:t>
            </w:r>
            <w:r w:rsidR="008537C5" w:rsidRPr="00621DF7">
              <w:rPr>
                <w:rFonts w:ascii="Verdana" w:eastAsia="Times New Roman" w:hAnsi="Verdana"/>
                <w:szCs w:val="18"/>
                <w:lang w:val="mk-MK"/>
              </w:rPr>
              <w:t>со</w:t>
            </w:r>
            <w:r w:rsidR="00CB6A16" w:rsidRPr="00621DF7">
              <w:rPr>
                <w:rFonts w:ascii="Verdana" w:eastAsia="Times New Roman" w:hAnsi="Verdana"/>
                <w:szCs w:val="18"/>
                <w:lang w:val="mk-MK"/>
              </w:rPr>
              <w:t xml:space="preserve"> договори.</w:t>
            </w:r>
            <w:r w:rsidR="00151E6A" w:rsidRPr="00621DF7">
              <w:rPr>
                <w:rFonts w:ascii="Verdana" w:eastAsia="Times New Roman" w:hAnsi="Verdana"/>
                <w:szCs w:val="18"/>
                <w:lang w:val="en-US"/>
              </w:rPr>
              <w:t xml:space="preserve"> </w:t>
            </w:r>
            <w:r w:rsidR="00CB6A16" w:rsidRPr="00621DF7">
              <w:rPr>
                <w:rFonts w:ascii="Verdana" w:eastAsia="Times New Roman" w:hAnsi="Verdana"/>
                <w:szCs w:val="18"/>
                <w:lang w:val="mk-MK"/>
              </w:rPr>
              <w:t>Постојат број различни договори, почнувајќи со билатерални (помеѓу две земји), мултилатерални (помеѓу три или повеќе земји) или меѓународни (помеѓу значителен број на земји</w:t>
            </w:r>
            <w:r w:rsidR="008537C5" w:rsidRPr="00621DF7">
              <w:rPr>
                <w:rFonts w:ascii="Verdana" w:eastAsia="Times New Roman" w:hAnsi="Verdana"/>
                <w:szCs w:val="18"/>
                <w:lang w:val="mk-MK"/>
              </w:rPr>
              <w:t>, можеби и интерконтинентални).</w:t>
            </w:r>
          </w:p>
          <w:p w14:paraId="2698CF7B" w14:textId="3E966576" w:rsidR="00151E6A" w:rsidRPr="00621DF7" w:rsidRDefault="00CB6A16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  <w:lang w:val="en-US"/>
              </w:rPr>
            </w:pP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Таквите договори имаат причини за </w:t>
            </w:r>
            <w:r w:rsidR="002A5CC7" w:rsidRPr="00621DF7">
              <w:rPr>
                <w:rFonts w:ascii="Verdana" w:eastAsia="Times New Roman" w:hAnsi="Verdana"/>
                <w:szCs w:val="18"/>
                <w:lang w:val="mk-MK"/>
              </w:rPr>
              <w:t>неговото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 зајакнување, главно со тоа што општите </w:t>
            </w:r>
            <w:r w:rsidR="001614CC" w:rsidRPr="00621DF7">
              <w:rPr>
                <w:rFonts w:ascii="Verdana" w:eastAsia="Times New Roman" w:hAnsi="Verdana"/>
                <w:szCs w:val="18"/>
                <w:lang w:val="mk-MK"/>
              </w:rPr>
              <w:t>начела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 </w:t>
            </w:r>
            <w:r w:rsidR="001614CC" w:rsidRPr="00621DF7">
              <w:rPr>
                <w:rFonts w:ascii="Verdana" w:eastAsia="Times New Roman" w:hAnsi="Verdana"/>
                <w:szCs w:val="18"/>
                <w:lang w:val="mk-MK"/>
              </w:rPr>
              <w:t>н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а меѓународно</w:t>
            </w:r>
            <w:r w:rsidR="001614CC" w:rsidRPr="00621DF7">
              <w:rPr>
                <w:rFonts w:ascii="Verdana" w:eastAsia="Times New Roman" w:hAnsi="Verdana"/>
                <w:szCs w:val="18"/>
                <w:lang w:val="mk-MK"/>
              </w:rPr>
              <w:t>то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 право не се присилни и дека на земјите кои ги потпишуваат им треба поцврста основа за кривична соработка.</w:t>
            </w:r>
            <w:r w:rsidR="00151E6A" w:rsidRPr="00621DF7">
              <w:rPr>
                <w:rFonts w:ascii="Verdana" w:eastAsia="Times New Roman" w:hAnsi="Verdana"/>
                <w:szCs w:val="18"/>
                <w:lang w:val="en-US"/>
              </w:rPr>
              <w:t xml:space="preserve"> 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Предностите и недостатоците се јасно претставени во слајдот.</w:t>
            </w:r>
            <w:r w:rsidR="00151E6A" w:rsidRPr="00621DF7">
              <w:rPr>
                <w:rFonts w:ascii="Verdana" w:eastAsia="Times New Roman" w:hAnsi="Verdana"/>
                <w:szCs w:val="18"/>
                <w:lang w:val="en-US"/>
              </w:rPr>
              <w:t xml:space="preserve"> </w:t>
            </w:r>
          </w:p>
          <w:p w14:paraId="6C492AE1" w14:textId="1D7EB707" w:rsidR="00151E6A" w:rsidRPr="00621DF7" w:rsidRDefault="00CB6A16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Меѓународните конвенции се договори или </w:t>
            </w:r>
            <w:r w:rsidR="002A5CC7" w:rsidRPr="00621DF7">
              <w:rPr>
                <w:rFonts w:ascii="Verdana" w:eastAsia="Times New Roman" w:hAnsi="Verdana"/>
                <w:szCs w:val="18"/>
                <w:lang w:val="mk-MK"/>
              </w:rPr>
              <w:t>спогодби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 xml:space="preserve"> помеѓу земјите.</w:t>
            </w:r>
            <w:r w:rsidR="00151E6A" w:rsidRPr="00621DF7">
              <w:rPr>
                <w:rFonts w:ascii="Verdana" w:eastAsia="Times New Roman" w:hAnsi="Verdana"/>
                <w:szCs w:val="18"/>
              </w:rPr>
              <w:t xml:space="preserve"> 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„Меѓународна конвенција“ често се користи наизменично со изрази како „меѓународен договор“, „</w:t>
            </w:r>
            <w:r w:rsidR="002A5CC7" w:rsidRPr="00621DF7">
              <w:rPr>
                <w:rFonts w:ascii="Verdana" w:eastAsia="Times New Roman" w:hAnsi="Verdana"/>
                <w:szCs w:val="18"/>
                <w:lang w:val="mk-MK"/>
              </w:rPr>
              <w:t>меѓународна спогодба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“, „</w:t>
            </w:r>
            <w:r w:rsidR="002A5CC7" w:rsidRPr="00621DF7">
              <w:rPr>
                <w:rFonts w:ascii="Verdana" w:eastAsia="Times New Roman" w:hAnsi="Verdana"/>
                <w:szCs w:val="18"/>
                <w:lang w:val="mk-MK"/>
              </w:rPr>
              <w:t>спогодба“ или „договор помеѓу земји“.</w:t>
            </w:r>
            <w:r w:rsidR="00151E6A" w:rsidRPr="00621DF7">
              <w:rPr>
                <w:rFonts w:ascii="Verdana" w:eastAsia="Times New Roman" w:hAnsi="Verdana"/>
                <w:szCs w:val="18"/>
              </w:rPr>
              <w:t xml:space="preserve"> </w:t>
            </w:r>
          </w:p>
          <w:p w14:paraId="649FEA68" w14:textId="3B7D99F3" w:rsidR="00CB3026" w:rsidRPr="00621DF7" w:rsidRDefault="00CB6A16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621DF7">
              <w:rPr>
                <w:rFonts w:ascii="Verdana" w:eastAsia="Times New Roman" w:hAnsi="Verdana"/>
                <w:szCs w:val="18"/>
                <w:lang w:val="mk-MK"/>
              </w:rPr>
              <w:t>Конвенциите можат да бидат од општа или специфична природа и помеѓу две или повеќе земји.</w:t>
            </w:r>
            <w:r w:rsidR="00151E6A" w:rsidRPr="00621DF7">
              <w:rPr>
                <w:rFonts w:ascii="Verdana" w:eastAsia="Times New Roman" w:hAnsi="Verdana"/>
                <w:szCs w:val="18"/>
              </w:rPr>
              <w:t xml:space="preserve">  </w:t>
            </w:r>
            <w:r w:rsidRPr="00621DF7">
              <w:rPr>
                <w:rFonts w:ascii="Verdana" w:eastAsia="Times New Roman" w:hAnsi="Verdana"/>
                <w:szCs w:val="18"/>
                <w:lang w:val="mk-MK"/>
              </w:rPr>
              <w:t>Конвенциите помеѓу две земји се нарекуваат билатерални договори; конвенциите помеѓу мал број земји (но повеќе од две) се наречени плулатерални договори; конвенции помеѓу голем број земји се наречени мултилатерални договори.</w:t>
            </w:r>
          </w:p>
        </w:tc>
      </w:tr>
      <w:tr w:rsidR="00F1574D" w:rsidRPr="00621DF7" w14:paraId="15587DD6" w14:textId="77777777" w:rsidTr="00F1574D">
        <w:trPr>
          <w:trHeight w:val="1916"/>
        </w:trPr>
        <w:tc>
          <w:tcPr>
            <w:tcW w:w="1525" w:type="dxa"/>
            <w:vAlign w:val="center"/>
          </w:tcPr>
          <w:p w14:paraId="65C32028" w14:textId="5C87D837" w:rsidR="00F1574D" w:rsidRPr="00621DF7" w:rsidRDefault="00CB6A16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8 до 12</w:t>
            </w:r>
          </w:p>
        </w:tc>
        <w:tc>
          <w:tcPr>
            <w:tcW w:w="7485" w:type="dxa"/>
            <w:gridSpan w:val="2"/>
            <w:vAlign w:val="center"/>
          </w:tcPr>
          <w:p w14:paraId="19272A96" w14:textId="45706DC6" w:rsidR="00151E6A" w:rsidRPr="00621DF7" w:rsidRDefault="00117E5E" w:rsidP="00621DF7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lang w:eastAsia="en-GB"/>
              </w:rPr>
            </w:pPr>
            <w:r w:rsidRPr="00621DF7">
              <w:rPr>
                <w:rFonts w:ascii="Verdana" w:eastAsia="Times New Roman" w:hAnsi="Verdana"/>
                <w:lang w:val="mk-MK"/>
              </w:rPr>
              <w:t xml:space="preserve">Овие слајдови даваат примери за некои од меѓународните договори, како што се Конвенцијата од Будимпешта, 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 xml:space="preserve">Инструментот за соработка 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на Комонвелтот 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 xml:space="preserve">од </w:t>
            </w:r>
            <w:r w:rsidRPr="00621DF7">
              <w:rPr>
                <w:rFonts w:ascii="Verdana" w:eastAsia="Times New Roman" w:hAnsi="Verdana"/>
                <w:lang w:val="mk-MK"/>
              </w:rPr>
              <w:t>Хараре, итн.</w:t>
            </w:r>
            <w:r w:rsidR="00151E6A" w:rsidRPr="00621DF7">
              <w:rPr>
                <w:rFonts w:ascii="Verdana" w:eastAsia="MS PGothic" w:hAnsi="Verdana" w:cs="MS PGothic"/>
                <w:kern w:val="24"/>
                <w:lang w:eastAsia="en-GB"/>
              </w:rPr>
              <w:t xml:space="preserve"> </w:t>
            </w:r>
          </w:p>
          <w:p w14:paraId="6D3C7811" w14:textId="50AA9A20" w:rsidR="00463FE7" w:rsidRPr="00621DF7" w:rsidRDefault="00117E5E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621DF7">
              <w:rPr>
                <w:rFonts w:ascii="Verdana" w:eastAsia="Times New Roman" w:hAnsi="Verdana"/>
                <w:lang w:val="mk-MK"/>
              </w:rPr>
              <w:t xml:space="preserve">Кривичното право мора да биде во тек со 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>овој технолошки развој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ко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>ј нуди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високо софистицирани можности за злоупотреба на објектите 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>во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сајбер-просторот и предизвикување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 xml:space="preserve"> штета на легитимните интереси.</w:t>
            </w:r>
            <w:r w:rsidR="00151E6A" w:rsidRPr="00621DF7">
              <w:rPr>
                <w:rFonts w:ascii="Verdana" w:eastAsia="Times New Roman" w:hAnsi="Verdana"/>
              </w:rPr>
              <w:t xml:space="preserve"> </w:t>
            </w:r>
            <w:r w:rsidRPr="00621DF7">
              <w:rPr>
                <w:rFonts w:ascii="Verdana" w:eastAsia="Times New Roman" w:hAnsi="Verdana"/>
                <w:lang w:val="mk-MK"/>
              </w:rPr>
              <w:t>Со оглед на прекуграничната природа на информациските мрежи, потребн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>и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>с</w:t>
            </w:r>
            <w:r w:rsidRPr="00621DF7">
              <w:rPr>
                <w:rFonts w:ascii="Verdana" w:eastAsia="Times New Roman" w:hAnsi="Verdana"/>
                <w:lang w:val="mk-MK"/>
              </w:rPr>
              <w:t>е меѓународн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>и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напор</w:t>
            </w:r>
            <w:r w:rsidR="001614CC" w:rsidRPr="00621DF7">
              <w:rPr>
                <w:rFonts w:ascii="Verdana" w:eastAsia="Times New Roman" w:hAnsi="Verdana"/>
                <w:lang w:val="mk-MK"/>
              </w:rPr>
              <w:t>и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за справ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>ување со ваквата злоупотреба.</w:t>
            </w:r>
            <w:r w:rsidR="00151E6A" w:rsidRPr="00621DF7">
              <w:rPr>
                <w:rFonts w:ascii="Verdana" w:eastAsia="Times New Roman" w:hAnsi="Verdana"/>
              </w:rPr>
              <w:t xml:space="preserve"> </w:t>
            </w:r>
            <w:r w:rsidRPr="00621DF7">
              <w:rPr>
                <w:rFonts w:ascii="Verdana" w:eastAsia="Times New Roman" w:hAnsi="Verdana"/>
                <w:lang w:val="mk-MK"/>
              </w:rPr>
              <w:t>Само обврзувачки меѓународен инструмент може да ја обезбеди потребната ефикасност во борбата против овие нови феномени.</w:t>
            </w:r>
            <w:r w:rsidR="00151E6A" w:rsidRPr="00621DF7">
              <w:rPr>
                <w:rFonts w:ascii="Verdana" w:eastAsia="Times New Roman" w:hAnsi="Verdana"/>
              </w:rPr>
              <w:t xml:space="preserve"> </w:t>
            </w:r>
          </w:p>
          <w:p w14:paraId="09B58FC0" w14:textId="162ADAFB" w:rsidR="00151E6A" w:rsidRPr="00621DF7" w:rsidRDefault="00117E5E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621DF7">
              <w:rPr>
                <w:rFonts w:ascii="Verdana" w:eastAsia="Times New Roman" w:hAnsi="Verdana"/>
                <w:lang w:val="mk-MK"/>
              </w:rPr>
              <w:t>Во рамките на таков инструмент, покрај мерките за меѓународна соработка, треба да се решат и прашања од материјално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>то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и процесно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>то</w:t>
            </w:r>
            <w:r w:rsidRPr="00621DF7">
              <w:rPr>
                <w:rFonts w:ascii="Verdana" w:eastAsia="Times New Roman" w:hAnsi="Verdana"/>
                <w:lang w:val="mk-MK"/>
              </w:rPr>
              <w:t xml:space="preserve"> право, како и прашања што се сложено поврзани со употребата на информатичката технологија.</w:t>
            </w:r>
          </w:p>
        </w:tc>
      </w:tr>
      <w:tr w:rsidR="00F1574D" w:rsidRPr="00621DF7" w14:paraId="4F010995" w14:textId="77777777" w:rsidTr="006B6FDF">
        <w:trPr>
          <w:trHeight w:val="440"/>
        </w:trPr>
        <w:tc>
          <w:tcPr>
            <w:tcW w:w="1525" w:type="dxa"/>
            <w:vAlign w:val="center"/>
          </w:tcPr>
          <w:p w14:paraId="48504862" w14:textId="051F7A32" w:rsidR="00556D69" w:rsidRPr="00621DF7" w:rsidRDefault="00117E5E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13 до 19</w:t>
            </w:r>
          </w:p>
        </w:tc>
        <w:tc>
          <w:tcPr>
            <w:tcW w:w="7485" w:type="dxa"/>
            <w:gridSpan w:val="2"/>
            <w:vAlign w:val="center"/>
          </w:tcPr>
          <w:p w14:paraId="4AF5B3D7" w14:textId="239F8DAF" w:rsidR="00450007" w:rsidRPr="00621DF7" w:rsidRDefault="00117E5E" w:rsidP="00621DF7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621DF7">
              <w:rPr>
                <w:rFonts w:ascii="Verdana" w:eastAsia="Times New Roman" w:hAnsi="Verdana"/>
                <w:lang w:val="mk-MK"/>
              </w:rPr>
              <w:t xml:space="preserve">Овие слајдови ги претставуваат стандардите за меѓународна соработка утврдени со Конвенцијата од Будимпешта и опсегот на работата на Групата за составување протокол за Комитетот T-CY </w:t>
            </w:r>
            <w:r w:rsidR="00C81518" w:rsidRPr="00621DF7">
              <w:rPr>
                <w:rFonts w:ascii="Verdana" w:eastAsia="Times New Roman" w:hAnsi="Verdana"/>
                <w:lang w:val="mk-MK"/>
              </w:rPr>
              <w:t xml:space="preserve">(Конвенција за сајбер-криминал) </w:t>
            </w:r>
            <w:r w:rsidRPr="00621DF7">
              <w:rPr>
                <w:rFonts w:ascii="Verdana" w:eastAsia="Times New Roman" w:hAnsi="Verdana"/>
                <w:lang w:val="mk-MK"/>
              </w:rPr>
              <w:t>на Советот на Европа за Вториот дополнителен протокол за Конвенцијата од Будимпешта.</w:t>
            </w:r>
          </w:p>
        </w:tc>
      </w:tr>
      <w:tr w:rsidR="00F1574D" w:rsidRPr="00621DF7" w14:paraId="3C4A313A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00098EC4" w14:textId="3B0B2AEC" w:rsidR="00F1574D" w:rsidRPr="00621DF7" w:rsidRDefault="00117E5E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20 до 23</w:t>
            </w:r>
          </w:p>
        </w:tc>
        <w:tc>
          <w:tcPr>
            <w:tcW w:w="7485" w:type="dxa"/>
            <w:gridSpan w:val="2"/>
            <w:vAlign w:val="center"/>
          </w:tcPr>
          <w:p w14:paraId="09B693A1" w14:textId="72CFAE62" w:rsidR="00556D69" w:rsidRPr="00621DF7" w:rsidRDefault="00117E5E" w:rsidP="00621DF7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Овие слајдови ги пре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зентир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аат комуникациските канали на примерот од Конвенцијата на Советот на Европа за заемна правна помош во кривични предмети од 1959 година и дополнителни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те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протоколи, заедно со Конвенцијата од Будимпешта и други релевантни извори.</w:t>
            </w:r>
            <w:r w:rsidR="005D7794" w:rsidRPr="00621DF7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1574D" w:rsidRPr="00621DF7" w14:paraId="0425CAAD" w14:textId="77777777" w:rsidTr="00F1574D">
        <w:trPr>
          <w:trHeight w:val="1295"/>
        </w:trPr>
        <w:tc>
          <w:tcPr>
            <w:tcW w:w="1525" w:type="dxa"/>
            <w:vAlign w:val="center"/>
          </w:tcPr>
          <w:p w14:paraId="054F45E0" w14:textId="1140E8FA" w:rsidR="00F1574D" w:rsidRPr="00621DF7" w:rsidRDefault="00117E5E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24 до 32</w:t>
            </w:r>
          </w:p>
        </w:tc>
        <w:tc>
          <w:tcPr>
            <w:tcW w:w="7485" w:type="dxa"/>
            <w:gridSpan w:val="2"/>
            <w:vAlign w:val="center"/>
          </w:tcPr>
          <w:p w14:paraId="4D384E6F" w14:textId="0CB38569" w:rsidR="00556D69" w:rsidRPr="00621DF7" w:rsidRDefault="00117E5E" w:rsidP="00621DF7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Овие слајдови ги пре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зентир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аат правните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услови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за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б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арање за заемна правна помош засновано врз гореспоменатите меѓународни договори.</w:t>
            </w:r>
            <w:r w:rsidR="005D7794" w:rsidRPr="00621DF7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Сите слајдови имаат детални белешки за објаснување.</w:t>
            </w:r>
          </w:p>
        </w:tc>
      </w:tr>
      <w:tr w:rsidR="00F1574D" w:rsidRPr="00621DF7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DE9D224" w14:textId="426CB7F6" w:rsidR="00F1574D" w:rsidRPr="00621DF7" w:rsidRDefault="00117E5E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33 до 37</w:t>
            </w:r>
          </w:p>
        </w:tc>
        <w:tc>
          <w:tcPr>
            <w:tcW w:w="7485" w:type="dxa"/>
            <w:gridSpan w:val="2"/>
            <w:vAlign w:val="center"/>
          </w:tcPr>
          <w:p w14:paraId="6544E3BC" w14:textId="7756DC11" w:rsidR="005F709E" w:rsidRPr="00621DF7" w:rsidRDefault="007423B8" w:rsidP="00621DF7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621DF7">
              <w:rPr>
                <w:rFonts w:ascii="Verdana" w:hAnsi="Verdana"/>
                <w:szCs w:val="18"/>
                <w:lang w:val="mk-MK"/>
              </w:rPr>
              <w:t>Овие слајдови ги опфаќаат размислувањата што се презентирани во форма на прашања.</w:t>
            </w:r>
            <w:r w:rsidR="005D7794" w:rsidRPr="00621DF7">
              <w:rPr>
                <w:rFonts w:ascii="Verdana" w:hAnsi="Verdana"/>
                <w:szCs w:val="18"/>
                <w:lang w:val="en-US"/>
              </w:rPr>
              <w:t xml:space="preserve"> </w:t>
            </w:r>
            <w:r w:rsidRPr="00621DF7">
              <w:rPr>
                <w:rFonts w:ascii="Verdana" w:hAnsi="Verdana"/>
                <w:szCs w:val="18"/>
                <w:lang w:val="mk-MK"/>
              </w:rPr>
              <w:t>Договорите зависат од локалната и меѓународната правна рамка на земјата во врска со заемна правна помош и разгледување на специфични случаи.</w:t>
            </w:r>
            <w:r w:rsidR="005F709E" w:rsidRPr="00621DF7">
              <w:rPr>
                <w:rFonts w:ascii="Verdana" w:hAnsi="Verdana"/>
                <w:szCs w:val="18"/>
                <w:lang w:val="en-US"/>
              </w:rPr>
              <w:t xml:space="preserve"> </w:t>
            </w:r>
            <w:r w:rsidR="001614CC" w:rsidRPr="00621DF7">
              <w:rPr>
                <w:rFonts w:ascii="Verdana" w:hAnsi="Verdana"/>
                <w:szCs w:val="18"/>
                <w:lang w:val="mk-MK"/>
              </w:rPr>
              <w:t>И</w:t>
            </w:r>
            <w:r w:rsidRPr="00621DF7">
              <w:rPr>
                <w:rFonts w:ascii="Verdana" w:hAnsi="Verdana"/>
                <w:szCs w:val="18"/>
                <w:lang w:val="mk-MK"/>
              </w:rPr>
              <w:t xml:space="preserve">сто така, </w:t>
            </w:r>
            <w:r w:rsidR="001614CC" w:rsidRPr="00621DF7">
              <w:rPr>
                <w:rFonts w:ascii="Verdana" w:hAnsi="Verdana"/>
                <w:szCs w:val="18"/>
                <w:lang w:val="mk-MK"/>
              </w:rPr>
              <w:t xml:space="preserve">истите </w:t>
            </w:r>
            <w:r w:rsidRPr="00621DF7">
              <w:rPr>
                <w:rFonts w:ascii="Verdana" w:hAnsi="Verdana"/>
                <w:szCs w:val="18"/>
                <w:lang w:val="mk-MK"/>
              </w:rPr>
              <w:t xml:space="preserve">зависат од организацијата и поставеноста на надлежните органи од страната </w:t>
            </w:r>
            <w:r w:rsidR="00C81518" w:rsidRPr="00621DF7">
              <w:rPr>
                <w:rFonts w:ascii="Verdana" w:hAnsi="Verdana"/>
                <w:szCs w:val="18"/>
                <w:lang w:val="mk-MK"/>
              </w:rPr>
              <w:t>барател</w:t>
            </w:r>
            <w:r w:rsidRPr="00621DF7">
              <w:rPr>
                <w:rFonts w:ascii="Verdana" w:hAnsi="Verdana"/>
                <w:szCs w:val="18"/>
                <w:lang w:val="mk-MK"/>
              </w:rPr>
              <w:t>, кои се директно вклучени во случајот и на ниво на меѓународна соработка.</w:t>
            </w:r>
            <w:r w:rsidR="005F709E" w:rsidRPr="00621DF7">
              <w:rPr>
                <w:rFonts w:ascii="Verdana" w:hAnsi="Verdana"/>
                <w:szCs w:val="18"/>
                <w:lang w:val="en-US"/>
              </w:rPr>
              <w:t xml:space="preserve"> </w:t>
            </w:r>
          </w:p>
          <w:p w14:paraId="6E2FA816" w14:textId="350A4E97" w:rsidR="00AB07AA" w:rsidRPr="00621DF7" w:rsidRDefault="001614CC" w:rsidP="00621DF7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621DF7">
              <w:rPr>
                <w:rFonts w:ascii="Verdana" w:hAnsi="Verdana"/>
                <w:szCs w:val="18"/>
                <w:lang w:val="mk-MK"/>
              </w:rPr>
              <w:t>По</w:t>
            </w:r>
            <w:r w:rsidR="007423B8" w:rsidRPr="00621DF7">
              <w:rPr>
                <w:rFonts w:ascii="Verdana" w:hAnsi="Verdana"/>
                <w:szCs w:val="18"/>
                <w:lang w:val="mk-MK"/>
              </w:rPr>
              <w:t xml:space="preserve"> правило, поспецијализираните и искусни </w:t>
            </w:r>
            <w:r w:rsidRPr="00621DF7">
              <w:rPr>
                <w:rFonts w:ascii="Verdana" w:hAnsi="Verdana"/>
                <w:szCs w:val="18"/>
                <w:lang w:val="mk-MK"/>
              </w:rPr>
              <w:t>органи</w:t>
            </w:r>
            <w:r w:rsidR="007423B8" w:rsidRPr="00621DF7">
              <w:rPr>
                <w:rFonts w:ascii="Verdana" w:hAnsi="Verdana"/>
                <w:szCs w:val="18"/>
                <w:lang w:val="mk-MK"/>
              </w:rPr>
              <w:t xml:space="preserve"> кои користат правна рамка прилагодена на потребите на </w:t>
            </w:r>
            <w:r w:rsidRPr="00621DF7">
              <w:rPr>
                <w:rFonts w:ascii="Verdana" w:hAnsi="Verdana"/>
                <w:szCs w:val="18"/>
                <w:lang w:val="mk-MK"/>
              </w:rPr>
              <w:t>експедитивн</w:t>
            </w:r>
            <w:r w:rsidR="007423B8" w:rsidRPr="00621DF7">
              <w:rPr>
                <w:rFonts w:ascii="Verdana" w:hAnsi="Verdana"/>
                <w:szCs w:val="18"/>
                <w:lang w:val="mk-MK"/>
              </w:rPr>
              <w:t>а заемна правна помош</w:t>
            </w:r>
            <w:r w:rsidR="00C81518" w:rsidRPr="00621DF7">
              <w:rPr>
                <w:rFonts w:ascii="Verdana" w:hAnsi="Verdana"/>
                <w:szCs w:val="18"/>
                <w:lang w:val="mk-MK"/>
              </w:rPr>
              <w:t>,</w:t>
            </w:r>
            <w:r w:rsidR="007423B8" w:rsidRPr="00621DF7">
              <w:rPr>
                <w:rFonts w:ascii="Verdana" w:hAnsi="Verdana"/>
                <w:szCs w:val="18"/>
                <w:lang w:val="mk-MK"/>
              </w:rPr>
              <w:t xml:space="preserve"> ќе добијат подобри и побрзи резултати.</w:t>
            </w:r>
          </w:p>
        </w:tc>
      </w:tr>
      <w:tr w:rsidR="00F1574D" w:rsidRPr="00621DF7" w14:paraId="720470D6" w14:textId="77777777" w:rsidTr="00F1574D">
        <w:trPr>
          <w:trHeight w:val="1169"/>
        </w:trPr>
        <w:tc>
          <w:tcPr>
            <w:tcW w:w="1525" w:type="dxa"/>
            <w:vAlign w:val="center"/>
          </w:tcPr>
          <w:p w14:paraId="61FD9F0D" w14:textId="72F81CD9" w:rsidR="00F1574D" w:rsidRPr="00621DF7" w:rsidRDefault="007423B8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38 до 43</w:t>
            </w:r>
          </w:p>
        </w:tc>
        <w:tc>
          <w:tcPr>
            <w:tcW w:w="7485" w:type="dxa"/>
            <w:gridSpan w:val="2"/>
            <w:vAlign w:val="center"/>
          </w:tcPr>
          <w:p w14:paraId="4C2ECC6A" w14:textId="33779C21" w:rsidR="005F709E" w:rsidRPr="00621DF7" w:rsidRDefault="007423B8" w:rsidP="00621DF7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621DF7">
              <w:rPr>
                <w:rFonts w:ascii="Verdana" w:hAnsi="Verdana"/>
                <w:szCs w:val="18"/>
                <w:lang w:val="mk-MK"/>
              </w:rPr>
              <w:t>Овие слајдови ја опфаќаат проценка на Советот на Европа за ЗПП и други одредби, вклучувајќи препораки и постојни алатки за поддршка</w:t>
            </w:r>
            <w:r w:rsidR="00C81518" w:rsidRPr="00621DF7">
              <w:rPr>
                <w:rFonts w:ascii="Verdana" w:hAnsi="Verdana"/>
                <w:szCs w:val="18"/>
                <w:lang w:val="mk-MK"/>
              </w:rPr>
              <w:t>.</w:t>
            </w:r>
            <w:r w:rsidR="005F709E" w:rsidRPr="00621DF7">
              <w:rPr>
                <w:rFonts w:ascii="Verdana" w:hAnsi="Verdana"/>
                <w:szCs w:val="18"/>
              </w:rPr>
              <w:t xml:space="preserve"> </w:t>
            </w:r>
          </w:p>
          <w:p w14:paraId="0F7AC5CA" w14:textId="0EAD7C07" w:rsidR="005F709E" w:rsidRPr="00621DF7" w:rsidRDefault="007423B8" w:rsidP="00621DF7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621DF7">
              <w:rPr>
                <w:rFonts w:ascii="Verdana" w:hAnsi="Verdana"/>
                <w:szCs w:val="18"/>
                <w:lang w:val="mk-MK"/>
              </w:rPr>
              <w:t>Затоа, Комитетот за конвенција за сајбер-криминал (T-CY), на својата осма пленарна сесија (5-6 декември 2012 година), реши во 2013 година да ја процени ефикасноста на некои од одредбите за меѓународна соработка од Поглавје III од Конвенцијата од Будимпешта за сајбер-криминал.</w:t>
            </w:r>
            <w:r w:rsidR="005F709E" w:rsidRPr="00621DF7">
              <w:rPr>
                <w:rFonts w:ascii="Verdana" w:hAnsi="Verdana"/>
                <w:szCs w:val="18"/>
              </w:rPr>
              <w:t xml:space="preserve"> </w:t>
            </w:r>
          </w:p>
          <w:p w14:paraId="59CB9448" w14:textId="307BCA72" w:rsidR="005F709E" w:rsidRPr="00621DF7" w:rsidRDefault="007423B8" w:rsidP="00621DF7">
            <w:pPr>
              <w:pStyle w:val="Subtitle"/>
              <w:spacing w:before="120" w:line="260" w:lineRule="atLeast"/>
              <w:rPr>
                <w:rFonts w:ascii="Verdana" w:hAnsi="Verdana"/>
                <w:szCs w:val="18"/>
              </w:rPr>
            </w:pPr>
            <w:r w:rsidRPr="00621DF7">
              <w:rPr>
                <w:rFonts w:ascii="Verdana" w:hAnsi="Verdana"/>
                <w:szCs w:val="18"/>
                <w:lang w:val="mk-MK"/>
              </w:rPr>
              <w:t>Сите слајдови имаат детални белешки за објаснување.</w:t>
            </w:r>
          </w:p>
        </w:tc>
      </w:tr>
      <w:tr w:rsidR="00F1574D" w:rsidRPr="00621DF7" w14:paraId="0A65AD6F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3A1602E1" w14:textId="18125035" w:rsidR="006527C6" w:rsidRPr="00621DF7" w:rsidRDefault="007423B8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44 до 55</w:t>
            </w:r>
          </w:p>
          <w:p w14:paraId="55312634" w14:textId="12BDFA46" w:rsidR="00F1574D" w:rsidRPr="00621DF7" w:rsidRDefault="00F1574D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85" w:type="dxa"/>
            <w:gridSpan w:val="2"/>
            <w:vAlign w:val="center"/>
          </w:tcPr>
          <w:p w14:paraId="2F0E2D5C" w14:textId="119BBE19" w:rsidR="005F709E" w:rsidRPr="00621DF7" w:rsidRDefault="007423B8" w:rsidP="00621DF7">
            <w:pPr>
              <w:spacing w:before="120" w:after="120" w:line="260" w:lineRule="atLeast"/>
              <w:rPr>
                <w:rFonts w:ascii="Verdana" w:eastAsia="MS PGothic" w:hAnsi="Verdana" w:cs="MS PGothic"/>
                <w:color w:val="000000" w:themeColor="text1"/>
                <w:kern w:val="24"/>
                <w:lang w:eastAsia="en-GB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Овие слајдови ги претставуваат препораките од извештајот за проценка.</w:t>
            </w:r>
            <w:r w:rsidR="005F709E" w:rsidRPr="00621DF7">
              <w:rPr>
                <w:rFonts w:ascii="Verdana" w:eastAsia="MS PGothic" w:hAnsi="Verdana" w:cs="MS PGothic"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7DA2C93F" w14:textId="1ED88B71" w:rsidR="005F709E" w:rsidRPr="00621DF7" w:rsidRDefault="003215CC" w:rsidP="00621DF7">
            <w:pPr>
              <w:spacing w:before="120" w:after="120" w:line="260" w:lineRule="atLeast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Препораките се поделени во четири групи:</w:t>
            </w:r>
          </w:p>
          <w:p w14:paraId="690F7616" w14:textId="746A3707" w:rsidR="005F709E" w:rsidRPr="00621DF7" w:rsidRDefault="003215CC" w:rsidP="00621DF7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</w:t>
            </w:r>
            <w:r w:rsidR="00DA7F0F" w:rsidRPr="00621DF7">
              <w:rPr>
                <w:rFonts w:ascii="Verdana" w:hAnsi="Verdana"/>
                <w:sz w:val="18"/>
                <w:szCs w:val="18"/>
                <w:lang w:val="mk-MK"/>
              </w:rPr>
              <w:t>репораки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кои спаѓаат првенствено под одговорноста на домашните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власти</w:t>
            </w:r>
          </w:p>
          <w:p w14:paraId="1132221B" w14:textId="29CE049A" w:rsidR="005F709E" w:rsidRPr="00621DF7" w:rsidRDefault="003215CC" w:rsidP="00621DF7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</w:t>
            </w:r>
            <w:r w:rsidR="00DA7F0F" w:rsidRPr="00621DF7">
              <w:rPr>
                <w:rFonts w:ascii="Verdana" w:hAnsi="Verdana"/>
                <w:sz w:val="18"/>
                <w:szCs w:val="18"/>
                <w:lang w:val="mk-MK"/>
              </w:rPr>
              <w:t>репораки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кои спаѓаат првенствено под одговорноста на T-CY</w:t>
            </w:r>
          </w:p>
          <w:p w14:paraId="4B531FCD" w14:textId="5F934190" w:rsidR="005F709E" w:rsidRPr="00621DF7" w:rsidRDefault="003215CC" w:rsidP="00621DF7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</w:t>
            </w:r>
            <w:r w:rsidR="00DA7F0F" w:rsidRPr="00621DF7">
              <w:rPr>
                <w:rFonts w:ascii="Verdana" w:hAnsi="Verdana"/>
                <w:sz w:val="18"/>
                <w:szCs w:val="18"/>
                <w:lang w:val="mk-MK"/>
              </w:rPr>
              <w:t>репораки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кои спаѓаат првенствено под одговорноста на проектите за градење </w:t>
            </w:r>
            <w:r w:rsidR="00DA7F0F" w:rsidRPr="00621DF7">
              <w:rPr>
                <w:rFonts w:ascii="Verdana" w:hAnsi="Verdana"/>
                <w:sz w:val="18"/>
                <w:szCs w:val="18"/>
                <w:lang w:val="mk-MK"/>
              </w:rPr>
              <w:t>капацитети на Советот на Европа</w:t>
            </w:r>
          </w:p>
          <w:p w14:paraId="4EF7EBF0" w14:textId="2F47254E" w:rsidR="005F709E" w:rsidRPr="00621DF7" w:rsidRDefault="003215CC" w:rsidP="00621DF7">
            <w:pPr>
              <w:numPr>
                <w:ilvl w:val="0"/>
                <w:numId w:val="19"/>
              </w:num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Препораки кои треба да се решат преку Дополнителниот протокол на Конвенцијата од Будимпешта за сајбер-криминал</w:t>
            </w:r>
          </w:p>
          <w:p w14:paraId="59937E6B" w14:textId="43CED2F8" w:rsidR="006527C6" w:rsidRPr="00621DF7" w:rsidRDefault="003215CC" w:rsidP="00621DF7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Врските за алатки за поддршка се претставени со активни хиперврски што можат да бидат проследени од обучувачот и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те доколку се поставени техничките барања.</w:t>
            </w:r>
          </w:p>
        </w:tc>
      </w:tr>
      <w:tr w:rsidR="005F709E" w:rsidRPr="00621DF7" w14:paraId="1918B48F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224BC13F" w14:textId="52EF7556" w:rsidR="005F709E" w:rsidRPr="00621DF7" w:rsidRDefault="003215CC" w:rsidP="00621DF7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56 до 58</w:t>
            </w:r>
          </w:p>
        </w:tc>
        <w:tc>
          <w:tcPr>
            <w:tcW w:w="7485" w:type="dxa"/>
            <w:gridSpan w:val="2"/>
            <w:vAlign w:val="center"/>
          </w:tcPr>
          <w:p w14:paraId="2E2377DE" w14:textId="341A1346" w:rsidR="005F709E" w:rsidRPr="00621DF7" w:rsidRDefault="003215CC" w:rsidP="00621DF7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Завршните слајдови му овозможуваат на обучувачот да ги разгледа целите на учење со публиката за да се осигура дека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истите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се постигнати.</w:t>
            </w:r>
            <w:r w:rsidR="005F709E" w:rsidRPr="00621D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Исто така, тоа е можност за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те да по</w:t>
            </w:r>
            <w:r w:rsidR="00E10C31" w:rsidRPr="00621DF7">
              <w:rPr>
                <w:rFonts w:ascii="Verdana" w:hAnsi="Verdana"/>
                <w:sz w:val="18"/>
                <w:szCs w:val="18"/>
                <w:lang w:val="mk-MK"/>
              </w:rPr>
              <w:t>став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ат какви било прашања што 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се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мож</w:t>
            </w:r>
            <w:r w:rsidR="001614CC" w:rsidRPr="00621DF7">
              <w:rPr>
                <w:rFonts w:ascii="Verdana" w:hAnsi="Verdana"/>
                <w:sz w:val="18"/>
                <w:szCs w:val="18"/>
                <w:lang w:val="mk-MK"/>
              </w:rPr>
              <w:t>еби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 нерешени или </w:t>
            </w:r>
            <w:r w:rsidR="00117127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за </w:t>
            </w:r>
            <w:r w:rsidR="00DA7F0F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оние презентирани теми што </w:t>
            </w:r>
            <w:r w:rsidR="00935A88" w:rsidRPr="00621DF7">
              <w:rPr>
                <w:rFonts w:ascii="Verdana" w:hAnsi="Verdana"/>
                <w:sz w:val="18"/>
                <w:szCs w:val="18"/>
                <w:lang w:val="mk-MK"/>
              </w:rPr>
              <w:t xml:space="preserve">не ги разбрале </w:t>
            </w:r>
            <w:r w:rsidR="00DA7F0F" w:rsidRPr="00621DF7">
              <w:rPr>
                <w:rFonts w:ascii="Verdana" w:hAnsi="Verdana"/>
                <w:sz w:val="18"/>
                <w:szCs w:val="18"/>
                <w:lang w:val="mk-MK"/>
              </w:rPr>
              <w:t>целосно.</w:t>
            </w:r>
            <w:r w:rsidR="005F709E" w:rsidRPr="00621DF7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4F4159A3" w14:textId="2D5FC509" w:rsidR="005F709E" w:rsidRPr="00621DF7" w:rsidRDefault="003215CC" w:rsidP="00621DF7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Покрај тоа, обучувачот може да ја искористи сесијата за да го провери наученото знаење со поставување прашања на учесниците.</w:t>
            </w:r>
            <w:r w:rsidR="005F709E" w:rsidRPr="00621D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21DF7">
              <w:rPr>
                <w:rFonts w:ascii="Verdana" w:hAnsi="Verdana"/>
                <w:sz w:val="18"/>
                <w:szCs w:val="18"/>
                <w:lang w:val="mk-MK"/>
              </w:rPr>
              <w:t>Ова е важно, бидејќи нема формално оценување на курсот.</w:t>
            </w:r>
          </w:p>
        </w:tc>
      </w:tr>
      <w:tr w:rsidR="00CB3026" w:rsidRPr="00621DF7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4E16BEB7" w:rsidR="00CB3026" w:rsidRPr="00621DF7" w:rsidRDefault="003215CC" w:rsidP="00621DF7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621DF7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599F4127" w:rsidR="00CB3026" w:rsidRPr="00621DF7" w:rsidRDefault="003215CC" w:rsidP="00621DF7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Не се предвидени практични вежби за оваа лекција.</w:t>
            </w:r>
          </w:p>
        </w:tc>
      </w:tr>
      <w:tr w:rsidR="00CB3026" w:rsidRPr="00621DF7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4D936ABB" w:rsidR="00CB3026" w:rsidRPr="00621DF7" w:rsidRDefault="003215CC" w:rsidP="00621DF7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621DF7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2B72618D" w:rsidR="00CB3026" w:rsidRPr="00621DF7" w:rsidRDefault="003215CC" w:rsidP="00621DF7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21DF7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621DF7" w:rsidRDefault="00D82C18" w:rsidP="00621DF7">
      <w:pPr>
        <w:spacing w:before="120" w:after="120" w:line="260" w:lineRule="atLeast"/>
        <w:rPr>
          <w:rFonts w:ascii="Verdana" w:hAnsi="Verdana"/>
        </w:rPr>
      </w:pPr>
    </w:p>
    <w:sectPr w:rsidR="00D82C18" w:rsidRPr="00621DF7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E1FF1" w14:textId="77777777" w:rsidR="003F0BFA" w:rsidRDefault="003F0BFA" w:rsidP="00C93422">
      <w:r>
        <w:separator/>
      </w:r>
    </w:p>
  </w:endnote>
  <w:endnote w:type="continuationSeparator" w:id="0">
    <w:p w14:paraId="53F134E5" w14:textId="77777777" w:rsidR="003F0BFA" w:rsidRDefault="003F0BFA" w:rsidP="00C9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C76E9" w14:textId="77777777" w:rsidR="00C93422" w:rsidRDefault="00C93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DD6DA" w14:textId="77777777" w:rsidR="00C93422" w:rsidRDefault="00C93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890B" w14:textId="77777777" w:rsidR="00C93422" w:rsidRDefault="00C93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EA6F5" w14:textId="77777777" w:rsidR="003F0BFA" w:rsidRDefault="003F0BFA" w:rsidP="00C93422">
      <w:r>
        <w:separator/>
      </w:r>
    </w:p>
  </w:footnote>
  <w:footnote w:type="continuationSeparator" w:id="0">
    <w:p w14:paraId="7D47F433" w14:textId="77777777" w:rsidR="003F0BFA" w:rsidRDefault="003F0BFA" w:rsidP="00C9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B7F7" w14:textId="77777777" w:rsidR="00C93422" w:rsidRDefault="00C93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FDC8" w14:textId="77777777" w:rsidR="00C93422" w:rsidRDefault="00C93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68827" w14:textId="77777777" w:rsidR="00C93422" w:rsidRDefault="00C93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A701041"/>
    <w:multiLevelType w:val="hybridMultilevel"/>
    <w:tmpl w:val="74B491D4"/>
    <w:lvl w:ilvl="0" w:tplc="13CE29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22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B6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A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E00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0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5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3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2030"/>
    <w:multiLevelType w:val="hybridMultilevel"/>
    <w:tmpl w:val="2ABAA646"/>
    <w:lvl w:ilvl="0" w:tplc="76E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E9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243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E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E2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2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A6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25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C02A6"/>
    <w:multiLevelType w:val="hybridMultilevel"/>
    <w:tmpl w:val="8B0AA106"/>
    <w:lvl w:ilvl="0" w:tplc="E69E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E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4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E864AE1"/>
    <w:multiLevelType w:val="hybridMultilevel"/>
    <w:tmpl w:val="E2F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A543A"/>
    <w:multiLevelType w:val="hybridMultilevel"/>
    <w:tmpl w:val="0CDE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19"/>
  </w:num>
  <w:num w:numId="7">
    <w:abstractNumId w:val="5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3"/>
  </w:num>
  <w:num w:numId="11">
    <w:abstractNumId w:val="11"/>
  </w:num>
  <w:num w:numId="12">
    <w:abstractNumId w:val="15"/>
  </w:num>
  <w:num w:numId="13">
    <w:abstractNumId w:val="4"/>
  </w:num>
  <w:num w:numId="14">
    <w:abstractNumId w:val="6"/>
  </w:num>
  <w:num w:numId="15">
    <w:abstractNumId w:val="14"/>
  </w:num>
  <w:num w:numId="16">
    <w:abstractNumId w:val="1"/>
  </w:num>
  <w:num w:numId="17">
    <w:abstractNumId w:val="2"/>
  </w:num>
  <w:num w:numId="18">
    <w:abstractNumId w:val="1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C18"/>
    <w:rsid w:val="00006EAD"/>
    <w:rsid w:val="000C40EE"/>
    <w:rsid w:val="000F7896"/>
    <w:rsid w:val="00117127"/>
    <w:rsid w:val="00117E5E"/>
    <w:rsid w:val="00151E6A"/>
    <w:rsid w:val="001614CC"/>
    <w:rsid w:val="00164999"/>
    <w:rsid w:val="001D603D"/>
    <w:rsid w:val="00271010"/>
    <w:rsid w:val="002A5CC7"/>
    <w:rsid w:val="002E3ECE"/>
    <w:rsid w:val="002F3B54"/>
    <w:rsid w:val="003215CC"/>
    <w:rsid w:val="0034224C"/>
    <w:rsid w:val="00342639"/>
    <w:rsid w:val="003453F7"/>
    <w:rsid w:val="003630ED"/>
    <w:rsid w:val="003A435F"/>
    <w:rsid w:val="003F0BFA"/>
    <w:rsid w:val="003F6587"/>
    <w:rsid w:val="00450007"/>
    <w:rsid w:val="00457DD3"/>
    <w:rsid w:val="00463FE7"/>
    <w:rsid w:val="0049153A"/>
    <w:rsid w:val="004B7351"/>
    <w:rsid w:val="004D35F1"/>
    <w:rsid w:val="00556D69"/>
    <w:rsid w:val="005703B7"/>
    <w:rsid w:val="005A4E47"/>
    <w:rsid w:val="005D4432"/>
    <w:rsid w:val="005D7794"/>
    <w:rsid w:val="005F709E"/>
    <w:rsid w:val="00621DF7"/>
    <w:rsid w:val="006527C6"/>
    <w:rsid w:val="006B6FDF"/>
    <w:rsid w:val="007423B8"/>
    <w:rsid w:val="0075334E"/>
    <w:rsid w:val="0076167F"/>
    <w:rsid w:val="007678A6"/>
    <w:rsid w:val="00773F6C"/>
    <w:rsid w:val="0080315D"/>
    <w:rsid w:val="00836C68"/>
    <w:rsid w:val="00844FBF"/>
    <w:rsid w:val="008537C5"/>
    <w:rsid w:val="008817F1"/>
    <w:rsid w:val="008A4C93"/>
    <w:rsid w:val="008E3FE7"/>
    <w:rsid w:val="008E6EAE"/>
    <w:rsid w:val="00935A88"/>
    <w:rsid w:val="00951791"/>
    <w:rsid w:val="009D1DB1"/>
    <w:rsid w:val="009F336B"/>
    <w:rsid w:val="00A03CF0"/>
    <w:rsid w:val="00A177BA"/>
    <w:rsid w:val="00A342ED"/>
    <w:rsid w:val="00A4110D"/>
    <w:rsid w:val="00A734A5"/>
    <w:rsid w:val="00A76996"/>
    <w:rsid w:val="00AA5742"/>
    <w:rsid w:val="00AB07AA"/>
    <w:rsid w:val="00B3608C"/>
    <w:rsid w:val="00B56791"/>
    <w:rsid w:val="00BD7897"/>
    <w:rsid w:val="00C115FC"/>
    <w:rsid w:val="00C541A2"/>
    <w:rsid w:val="00C81518"/>
    <w:rsid w:val="00C82656"/>
    <w:rsid w:val="00C93422"/>
    <w:rsid w:val="00CB02C4"/>
    <w:rsid w:val="00CB3026"/>
    <w:rsid w:val="00CB6A16"/>
    <w:rsid w:val="00CC1F79"/>
    <w:rsid w:val="00CC2222"/>
    <w:rsid w:val="00D62E5F"/>
    <w:rsid w:val="00D82C18"/>
    <w:rsid w:val="00DA7F0F"/>
    <w:rsid w:val="00E10C31"/>
    <w:rsid w:val="00E13BE7"/>
    <w:rsid w:val="00E7344B"/>
    <w:rsid w:val="00E95703"/>
    <w:rsid w:val="00E9776E"/>
    <w:rsid w:val="00EE1E16"/>
    <w:rsid w:val="00F1338F"/>
    <w:rsid w:val="00F1574D"/>
    <w:rsid w:val="00F504D6"/>
    <w:rsid w:val="00F62A15"/>
    <w:rsid w:val="00F955B5"/>
    <w:rsid w:val="00FB6DE5"/>
    <w:rsid w:val="00FE15D2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3B29B350-01AC-49EB-9C94-549F893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3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422"/>
  </w:style>
  <w:style w:type="paragraph" w:styleId="Footer">
    <w:name w:val="footer"/>
    <w:basedOn w:val="Normal"/>
    <w:link w:val="FooterChar"/>
    <w:uiPriority w:val="99"/>
    <w:unhideWhenUsed/>
    <w:rsid w:val="00C93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2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25</cp:revision>
  <dcterms:created xsi:type="dcterms:W3CDTF">2020-09-08T14:15:00Z</dcterms:created>
  <dcterms:modified xsi:type="dcterms:W3CDTF">2021-05-10T08:17:00Z</dcterms:modified>
</cp:coreProperties>
</file>