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DD02D" w14:textId="68794403" w:rsidR="00D82C18" w:rsidRPr="0078524C" w:rsidRDefault="00D528DE" w:rsidP="0078524C">
      <w:pPr>
        <w:spacing w:before="120" w:after="120" w:line="260" w:lineRule="atLeast"/>
        <w:rPr>
          <w:rFonts w:ascii="Verdana" w:hAnsi="Verdana"/>
          <w:b/>
          <w:bCs/>
          <w:sz w:val="28"/>
          <w:lang w:val="en-US"/>
        </w:rPr>
      </w:pPr>
      <w:r w:rsidRPr="0078524C">
        <w:rPr>
          <w:rFonts w:ascii="Verdana" w:hAnsi="Verdana"/>
          <w:b/>
          <w:bCs/>
          <w:sz w:val="28"/>
          <w:szCs w:val="28"/>
          <w:lang w:val="mk-MK"/>
        </w:rPr>
        <w:t>Лекција 2.2 Неформални методи на меѓународна соработка</w:t>
      </w:r>
    </w:p>
    <w:p w14:paraId="1D0E3DC5" w14:textId="77777777" w:rsidR="00C115FC" w:rsidRPr="0078524C" w:rsidRDefault="00C115FC" w:rsidP="0078524C">
      <w:pPr>
        <w:spacing w:before="120" w:after="120" w:line="260" w:lineRule="atLeast"/>
        <w:ind w:left="360"/>
        <w:rPr>
          <w:rFonts w:ascii="Verdana" w:hAnsi="Verdana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525"/>
        <w:gridCol w:w="5320"/>
        <w:gridCol w:w="2477"/>
      </w:tblGrid>
      <w:tr w:rsidR="00C115FC" w:rsidRPr="0078524C" w14:paraId="58A3485E" w14:textId="77777777" w:rsidTr="002E1D4C">
        <w:trPr>
          <w:trHeight w:val="872"/>
        </w:trPr>
        <w:tc>
          <w:tcPr>
            <w:tcW w:w="6845" w:type="dxa"/>
            <w:gridSpan w:val="2"/>
            <w:shd w:val="clear" w:color="auto" w:fill="DEEAF6" w:themeFill="accent5" w:themeFillTint="33"/>
            <w:vAlign w:val="center"/>
          </w:tcPr>
          <w:p w14:paraId="0067FF35" w14:textId="0F330E32" w:rsidR="00D82C18" w:rsidRPr="0078524C" w:rsidRDefault="00D528DE" w:rsidP="0078524C">
            <w:pPr>
              <w:spacing w:before="120" w:after="120" w:line="260" w:lineRule="atLeast"/>
              <w:rPr>
                <w:rFonts w:ascii="Verdana" w:hAnsi="Verdana"/>
                <w:sz w:val="22"/>
                <w:szCs w:val="22"/>
                <w:lang w:val="en-US"/>
              </w:rPr>
            </w:pPr>
            <w:r w:rsidRPr="0078524C">
              <w:rPr>
                <w:rFonts w:ascii="Verdana" w:hAnsi="Verdana"/>
                <w:sz w:val="22"/>
                <w:szCs w:val="22"/>
                <w:lang w:val="mk-MK"/>
              </w:rPr>
              <w:t>Лекција 2.2 Неформални методи на меѓународна соработка</w:t>
            </w:r>
          </w:p>
        </w:tc>
        <w:tc>
          <w:tcPr>
            <w:tcW w:w="2477" w:type="dxa"/>
            <w:shd w:val="clear" w:color="auto" w:fill="DEEAF6" w:themeFill="accent5" w:themeFillTint="33"/>
            <w:vAlign w:val="center"/>
          </w:tcPr>
          <w:p w14:paraId="30B631DA" w14:textId="02D13464" w:rsidR="00D82C18" w:rsidRPr="0078524C" w:rsidRDefault="00D528DE" w:rsidP="0078524C">
            <w:pPr>
              <w:spacing w:before="120" w:after="120" w:line="260" w:lineRule="atLeast"/>
              <w:rPr>
                <w:rFonts w:ascii="Verdana" w:hAnsi="Verdana"/>
                <w:sz w:val="22"/>
                <w:szCs w:val="22"/>
              </w:rPr>
            </w:pPr>
            <w:r w:rsidRPr="0078524C">
              <w:rPr>
                <w:rFonts w:ascii="Verdana" w:hAnsi="Verdana"/>
                <w:sz w:val="22"/>
                <w:szCs w:val="22"/>
                <w:lang w:val="mk-MK"/>
              </w:rPr>
              <w:t>Времетраење:</w:t>
            </w:r>
            <w:r w:rsidR="00D82C18" w:rsidRPr="0078524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78524C">
              <w:rPr>
                <w:rFonts w:ascii="Verdana" w:hAnsi="Verdana"/>
                <w:color w:val="000000" w:themeColor="text1"/>
                <w:sz w:val="22"/>
                <w:szCs w:val="22"/>
                <w:lang w:val="mk-MK"/>
              </w:rPr>
              <w:t>60 минути</w:t>
            </w:r>
            <w:r w:rsidR="00E13BE7" w:rsidRPr="0078524C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7344B" w:rsidRPr="0078524C" w14:paraId="7C1107AB" w14:textId="77777777" w:rsidTr="002E1D4C">
        <w:trPr>
          <w:trHeight w:val="1376"/>
        </w:trPr>
        <w:tc>
          <w:tcPr>
            <w:tcW w:w="9322" w:type="dxa"/>
            <w:gridSpan w:val="3"/>
            <w:vAlign w:val="center"/>
          </w:tcPr>
          <w:p w14:paraId="0B1C3404" w14:textId="2ED3A424" w:rsidR="00E7344B" w:rsidRPr="0078524C" w:rsidRDefault="00D528DE" w:rsidP="0078524C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78524C">
              <w:rPr>
                <w:rFonts w:ascii="Verdana" w:hAnsi="Verdana"/>
                <w:b/>
                <w:sz w:val="22"/>
                <w:szCs w:val="22"/>
                <w:lang w:val="mk-MK"/>
              </w:rPr>
              <w:t>Потребни средства:</w:t>
            </w:r>
            <w:r w:rsidR="00E13BE7" w:rsidRPr="0078524C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060400D8" w14:textId="2D035F06" w:rsidR="000F7896" w:rsidRPr="0078524C" w:rsidRDefault="00D528DE" w:rsidP="0078524C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78524C">
              <w:rPr>
                <w:lang w:val="mk-MK"/>
              </w:rPr>
              <w:t>Персонален компјутер/</w:t>
            </w:r>
            <w:r w:rsidR="006734C0" w:rsidRPr="0078524C">
              <w:rPr>
                <w:lang w:val="mk-MK"/>
              </w:rPr>
              <w:t>л</w:t>
            </w:r>
            <w:r w:rsidRPr="0078524C">
              <w:rPr>
                <w:lang w:val="mk-MK"/>
              </w:rPr>
              <w:t>аптоп опремен со софтверски верзии компатибилни со подготвените материјали</w:t>
            </w:r>
            <w:r w:rsidR="000F7896" w:rsidRPr="0078524C">
              <w:rPr>
                <w:lang w:val="en-GB"/>
              </w:rPr>
              <w:t xml:space="preserve"> </w:t>
            </w:r>
          </w:p>
          <w:p w14:paraId="62A10C2C" w14:textId="02BAF2CA" w:rsidR="000F7896" w:rsidRPr="0078524C" w:rsidRDefault="00D528DE" w:rsidP="0078524C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78524C">
              <w:rPr>
                <w:lang w:val="mk-MK"/>
              </w:rPr>
              <w:t>Интернет пристап (доколку е достапен)</w:t>
            </w:r>
            <w:r w:rsidR="000F7896" w:rsidRPr="0078524C">
              <w:rPr>
                <w:lang w:val="en-GB"/>
              </w:rPr>
              <w:t xml:space="preserve"> </w:t>
            </w:r>
          </w:p>
          <w:p w14:paraId="14CF9EF0" w14:textId="67837211" w:rsidR="000F7896" w:rsidRPr="0078524C" w:rsidRDefault="00D528DE" w:rsidP="0078524C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78524C">
              <w:rPr>
                <w:lang w:val="mk-MK"/>
              </w:rPr>
              <w:t>PowerPoint или друг софтвер за презентации</w:t>
            </w:r>
          </w:p>
        </w:tc>
      </w:tr>
      <w:tr w:rsidR="00E7344B" w:rsidRPr="0078524C" w14:paraId="635F2EFD" w14:textId="77777777" w:rsidTr="002E1D4C">
        <w:trPr>
          <w:trHeight w:val="2051"/>
        </w:trPr>
        <w:tc>
          <w:tcPr>
            <w:tcW w:w="9322" w:type="dxa"/>
            <w:gridSpan w:val="3"/>
            <w:vAlign w:val="center"/>
          </w:tcPr>
          <w:p w14:paraId="34602AF3" w14:textId="0FB03EC2" w:rsidR="00A03CF0" w:rsidRPr="0078524C" w:rsidRDefault="00D528DE" w:rsidP="0078524C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78524C">
              <w:rPr>
                <w:rFonts w:ascii="Verdana" w:hAnsi="Verdana"/>
                <w:b/>
                <w:sz w:val="22"/>
                <w:szCs w:val="22"/>
                <w:lang w:val="mk-MK"/>
              </w:rPr>
              <w:t>Цел на сесијата:</w:t>
            </w:r>
            <w:r w:rsidR="00A03CF0" w:rsidRPr="0078524C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</w:p>
          <w:p w14:paraId="303D581E" w14:textId="6C627EB9" w:rsidR="00B56791" w:rsidRPr="0078524C" w:rsidRDefault="00D528DE" w:rsidP="0078524C">
            <w:pPr>
              <w:spacing w:before="120" w:after="120" w:line="260" w:lineRule="atLeast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78524C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Сесијата се стреми кон презентација и дискусија за неформални начини за соработка преку употреба на воспоставени комуникациски канали на ниво на полиција, обвинителство и суд.</w:t>
            </w:r>
            <w:r w:rsidR="00260809" w:rsidRPr="0078524C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</w:t>
            </w:r>
            <w:r w:rsidRPr="0078524C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 xml:space="preserve">На располагање се број примери на меѓународни организации и нивни мрежи за соработка, </w:t>
            </w:r>
            <w:r w:rsidR="006734C0" w:rsidRPr="0078524C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 xml:space="preserve">при што </w:t>
            </w:r>
            <w:r w:rsidRPr="0078524C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најуспешните се претставени тука.</w:t>
            </w:r>
          </w:p>
          <w:p w14:paraId="6F6C295C" w14:textId="5FA005AD" w:rsidR="00260809" w:rsidRPr="0078524C" w:rsidRDefault="00D528DE" w:rsidP="0078524C">
            <w:pPr>
              <w:spacing w:before="120" w:after="120" w:line="260" w:lineRule="atLeast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78524C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Експертот треба да презентира можности за користење на овие мрежи, п</w:t>
            </w:r>
            <w:r w:rsidR="006734C0" w:rsidRPr="0078524C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остапк</w:t>
            </w:r>
            <w:r w:rsidRPr="0078524C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и и контактни точки за брза комуникација и размена</w:t>
            </w:r>
            <w:r w:rsidR="00264EF8" w:rsidRPr="0078524C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,</w:t>
            </w:r>
            <w:r w:rsidRPr="0078524C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 xml:space="preserve"> не само </w:t>
            </w:r>
            <w:r w:rsidR="00264EF8" w:rsidRPr="0078524C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за информации, туку и докази, доколку тоа е возможно и дозволено.</w:t>
            </w:r>
          </w:p>
          <w:p w14:paraId="3FE58655" w14:textId="38BBF315" w:rsidR="00A03CF0" w:rsidRPr="0078524C" w:rsidRDefault="00264EF8" w:rsidP="0078524C">
            <w:pPr>
              <w:spacing w:before="120" w:after="120" w:line="260" w:lineRule="atLeast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78524C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Главната точка на сесијата треба да биде дека механизмите што се на располагање треба да се користат на најефикасен начин за реакција за забранување на сајбер-криминал.</w:t>
            </w:r>
          </w:p>
        </w:tc>
      </w:tr>
      <w:tr w:rsidR="00A03CF0" w:rsidRPr="0078524C" w14:paraId="1B5A80A7" w14:textId="77777777" w:rsidTr="002E1D4C">
        <w:trPr>
          <w:trHeight w:val="5894"/>
        </w:trPr>
        <w:tc>
          <w:tcPr>
            <w:tcW w:w="9322" w:type="dxa"/>
            <w:gridSpan w:val="3"/>
          </w:tcPr>
          <w:p w14:paraId="77290498" w14:textId="5A176014" w:rsidR="00A527C5" w:rsidRPr="0078524C" w:rsidRDefault="00264EF8" w:rsidP="0078524C">
            <w:pPr>
              <w:spacing w:before="120" w:after="12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78524C">
              <w:rPr>
                <w:rFonts w:ascii="Verdana" w:hAnsi="Verdana"/>
                <w:b/>
                <w:sz w:val="18"/>
                <w:szCs w:val="18"/>
                <w:lang w:val="mk-MK"/>
              </w:rPr>
              <w:t>Цели:</w:t>
            </w:r>
          </w:p>
          <w:p w14:paraId="2B0B49E6" w14:textId="4DCDD607" w:rsidR="00A527C5" w:rsidRPr="0078524C" w:rsidRDefault="00264EF8" w:rsidP="0078524C">
            <w:pPr>
              <w:pStyle w:val="ListParagraph"/>
              <w:numPr>
                <w:ilvl w:val="0"/>
                <w:numId w:val="22"/>
              </w:numPr>
              <w:spacing w:before="120" w:after="120" w:line="260" w:lineRule="atLeast"/>
              <w:contextualSpacing w:val="0"/>
              <w:rPr>
                <w:rFonts w:ascii="Verdana" w:hAnsi="Verdana"/>
                <w:b/>
                <w:sz w:val="18"/>
                <w:szCs w:val="18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да се разберат разликите помеѓу формална и неформална заемна</w:t>
            </w:r>
            <w:r w:rsidR="002E03B9"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 правна помош во кривични предмети</w:t>
            </w:r>
          </w:p>
          <w:p w14:paraId="3F7402ED" w14:textId="6C98A08F" w:rsidR="00A527C5" w:rsidRPr="0078524C" w:rsidRDefault="00264EF8" w:rsidP="0078524C">
            <w:pPr>
              <w:pStyle w:val="ListParagraph"/>
              <w:numPr>
                <w:ilvl w:val="0"/>
                <w:numId w:val="22"/>
              </w:numPr>
              <w:spacing w:before="120" w:after="120" w:line="260" w:lineRule="atLeast"/>
              <w:contextualSpacing w:val="0"/>
              <w:rPr>
                <w:rFonts w:ascii="Verdana" w:hAnsi="Verdana"/>
                <w:b/>
                <w:sz w:val="18"/>
                <w:szCs w:val="18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стекнување на дополнителни информации и знаење за Меѓународни организации и мрежи за организација, поставување и компетенции на сајбер-криминал </w:t>
            </w:r>
          </w:p>
          <w:p w14:paraId="7E8B5239" w14:textId="36547BDF" w:rsidR="00A527C5" w:rsidRPr="0078524C" w:rsidRDefault="002E03B9" w:rsidP="0078524C">
            <w:pPr>
              <w:pStyle w:val="ListParagraph"/>
              <w:numPr>
                <w:ilvl w:val="0"/>
                <w:numId w:val="22"/>
              </w:numPr>
              <w:spacing w:before="120" w:after="120" w:line="260" w:lineRule="atLeast"/>
              <w:contextualSpacing w:val="0"/>
              <w:rPr>
                <w:rFonts w:ascii="Verdana" w:hAnsi="Verdana"/>
                <w:b/>
                <w:sz w:val="18"/>
                <w:szCs w:val="18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д</w:t>
            </w:r>
            <w:r w:rsidR="00264EF8" w:rsidRPr="0078524C">
              <w:rPr>
                <w:rFonts w:ascii="Verdana" w:hAnsi="Verdana"/>
                <w:sz w:val="18"/>
                <w:szCs w:val="18"/>
                <w:lang w:val="mk-MK"/>
              </w:rPr>
              <w:t>ополнително да се анализира и разбере спроведувањето на член 35 од Конвенцијата за сајбер-криминал на Советот на Европа</w:t>
            </w:r>
          </w:p>
          <w:p w14:paraId="782802F5" w14:textId="6220DF78" w:rsidR="00260809" w:rsidRPr="0078524C" w:rsidRDefault="00264EF8" w:rsidP="0078524C">
            <w:pPr>
              <w:pStyle w:val="ListParagraph"/>
              <w:numPr>
                <w:ilvl w:val="0"/>
                <w:numId w:val="22"/>
              </w:numPr>
              <w:spacing w:before="120" w:after="120" w:line="260" w:lineRule="atLeast"/>
              <w:contextualSpacing w:val="0"/>
              <w:rPr>
                <w:rFonts w:ascii="Verdana" w:hAnsi="Verdana"/>
                <w:b/>
                <w:sz w:val="18"/>
                <w:szCs w:val="18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да се подигне свеста за некои од локалните национални решенија за забранување на сајбер-криминал и заемна правна помош во врска со тоа</w:t>
            </w:r>
          </w:p>
          <w:p w14:paraId="61ABEAC5" w14:textId="5302ADCF" w:rsidR="004D35F1" w:rsidRPr="0078524C" w:rsidRDefault="004D35F1" w:rsidP="0078524C">
            <w:pPr>
              <w:tabs>
                <w:tab w:val="left" w:pos="426"/>
                <w:tab w:val="left" w:pos="851"/>
              </w:tabs>
              <w:spacing w:before="120" w:after="120" w:line="260" w:lineRule="atLeast"/>
              <w:ind w:left="36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5703B7" w:rsidRPr="0078524C" w14:paraId="03110757" w14:textId="77777777" w:rsidTr="002E1D4C">
        <w:trPr>
          <w:trHeight w:val="3230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2229E70C" w:rsidR="005703B7" w:rsidRPr="0078524C" w:rsidRDefault="00BD098C" w:rsidP="0078524C">
            <w:pPr>
              <w:spacing w:before="120" w:after="120" w:line="260" w:lineRule="atLeast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78524C">
              <w:rPr>
                <w:rFonts w:ascii="Verdana" w:hAnsi="Verdana"/>
                <w:b/>
                <w:color w:val="000000" w:themeColor="text1"/>
                <w:sz w:val="18"/>
                <w:szCs w:val="18"/>
                <w:lang w:val="mk-MK"/>
              </w:rPr>
              <w:lastRenderedPageBreak/>
              <w:t>Упатство за обучувачи</w:t>
            </w:r>
          </w:p>
          <w:p w14:paraId="19696B39" w14:textId="3C9172C7" w:rsidR="00A527C5" w:rsidRPr="0078524C" w:rsidRDefault="00BD098C" w:rsidP="0078524C">
            <w:pPr>
              <w:spacing w:before="120" w:after="120" w:line="260" w:lineRule="atLeast"/>
              <w:rPr>
                <w:rFonts w:ascii="Verdana" w:hAnsi="Verdana"/>
                <w:sz w:val="18"/>
                <w:szCs w:val="18"/>
                <w:lang w:val="mk-MK"/>
              </w:rPr>
            </w:pPr>
            <w:r w:rsidRPr="0078524C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mk-MK"/>
              </w:rPr>
              <w:t xml:space="preserve">За 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време на сесијата треба да се разгледаат следните теми:</w:t>
            </w:r>
          </w:p>
          <w:p w14:paraId="0B42C046" w14:textId="32ED17B5" w:rsidR="00A527C5" w:rsidRPr="0078524C" w:rsidRDefault="00BD098C" w:rsidP="0078524C">
            <w:pPr>
              <w:pStyle w:val="ListParagraph"/>
              <w:numPr>
                <w:ilvl w:val="0"/>
                <w:numId w:val="22"/>
              </w:numPr>
              <w:spacing w:before="120" w:after="120" w:line="260" w:lineRule="atLeast"/>
              <w:contextualSpacing w:val="0"/>
              <w:rPr>
                <w:rFonts w:ascii="Verdana" w:hAnsi="Verdana"/>
                <w:sz w:val="18"/>
                <w:szCs w:val="18"/>
                <w:lang w:val="mk-MK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Формална наспроти неформална заемна правна помош во кривични предмети, примери за тоа и клучни размислувања и препораки</w:t>
            </w:r>
          </w:p>
          <w:p w14:paraId="54C52FD3" w14:textId="06C320DC" w:rsidR="00A527C5" w:rsidRPr="0078524C" w:rsidRDefault="00BD098C" w:rsidP="0078524C">
            <w:pPr>
              <w:pStyle w:val="ListParagraph"/>
              <w:numPr>
                <w:ilvl w:val="0"/>
                <w:numId w:val="22"/>
              </w:numPr>
              <w:spacing w:before="120" w:after="120" w:line="260" w:lineRule="atLeast"/>
              <w:contextualSpacing w:val="0"/>
              <w:rPr>
                <w:rFonts w:ascii="Verdana" w:hAnsi="Verdana"/>
                <w:sz w:val="18"/>
                <w:szCs w:val="18"/>
                <w:lang w:val="mk-MK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Меѓународни организации и мрежи специјализирани за неформално и формално искуство и можности за соработка во областа на сајбер-криминалот (</w:t>
            </w:r>
            <w:r w:rsidR="002E03B9" w:rsidRPr="0078524C">
              <w:rPr>
                <w:rFonts w:ascii="Verdana" w:hAnsi="Verdana"/>
                <w:sz w:val="18"/>
                <w:szCs w:val="18"/>
                <w:lang w:val="mk-MK"/>
              </w:rPr>
              <w:t>Национални централни бироа и Национален систем на централна референтна точка на ИНТЕРПОЛ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, механизми на ЕУ, Е</w:t>
            </w:r>
            <w:r w:rsidR="006734C0" w:rsidRPr="0078524C">
              <w:rPr>
                <w:rFonts w:ascii="Verdana" w:hAnsi="Verdana"/>
                <w:sz w:val="18"/>
                <w:szCs w:val="18"/>
                <w:lang w:val="mk-MK"/>
              </w:rPr>
              <w:t>В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РОПОЛ, </w:t>
            </w:r>
            <w:r w:rsidR="002E03B9" w:rsidRPr="0078524C">
              <w:rPr>
                <w:rFonts w:ascii="Verdana" w:hAnsi="Verdana"/>
                <w:sz w:val="18"/>
                <w:szCs w:val="18"/>
                <w:lang w:val="mk-MK"/>
              </w:rPr>
              <w:t>Европски центар за сајбер-криминал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, Е</w:t>
            </w:r>
            <w:r w:rsidR="00AF4764" w:rsidRPr="0078524C">
              <w:rPr>
                <w:rFonts w:ascii="Verdana" w:hAnsi="Verdana"/>
                <w:sz w:val="18"/>
                <w:szCs w:val="18"/>
                <w:lang w:val="mk-MK"/>
              </w:rPr>
              <w:t>В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РОЏАСТ, </w:t>
            </w:r>
            <w:r w:rsidR="002E03B9" w:rsidRPr="0078524C">
              <w:rPr>
                <w:rFonts w:ascii="Verdana" w:hAnsi="Verdana"/>
                <w:sz w:val="18"/>
                <w:szCs w:val="18"/>
                <w:lang w:val="mk-MK"/>
              </w:rPr>
              <w:t>Европска судска мрежа за сајбер-криминал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, </w:t>
            </w:r>
            <w:r w:rsidR="002E03B9" w:rsidRPr="0078524C">
              <w:rPr>
                <w:rFonts w:ascii="Verdana" w:hAnsi="Verdana"/>
                <w:sz w:val="18"/>
                <w:szCs w:val="18"/>
                <w:lang w:val="mk-MK"/>
              </w:rPr>
              <w:t>Европска судска мрежа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)</w:t>
            </w:r>
          </w:p>
          <w:p w14:paraId="2062B7F1" w14:textId="3F027BD7" w:rsidR="00A527C5" w:rsidRPr="0078524C" w:rsidRDefault="004922D6" w:rsidP="0078524C">
            <w:pPr>
              <w:pStyle w:val="ListParagraph"/>
              <w:numPr>
                <w:ilvl w:val="0"/>
                <w:numId w:val="22"/>
              </w:numPr>
              <w:spacing w:before="120" w:after="120" w:line="260" w:lineRule="atLeast"/>
              <w:contextualSpacing w:val="0"/>
              <w:rPr>
                <w:rFonts w:ascii="Verdana" w:hAnsi="Verdana"/>
                <w:sz w:val="18"/>
                <w:szCs w:val="18"/>
                <w:lang w:val="mk-MK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24/7 мрежа за контакт точки од </w:t>
            </w:r>
            <w:r w:rsidR="00BD098C" w:rsidRPr="0078524C">
              <w:rPr>
                <w:rFonts w:ascii="Verdana" w:hAnsi="Verdana"/>
                <w:sz w:val="18"/>
                <w:szCs w:val="18"/>
                <w:lang w:val="mk-MK"/>
              </w:rPr>
              <w:t>Конвенција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та</w:t>
            </w:r>
            <w:r w:rsidR="00BD098C"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 на Советот на Европа за сајбер-криминал за брзо поставување на брзи </w:t>
            </w:r>
            <w:r w:rsidR="00705CEF" w:rsidRPr="0078524C">
              <w:rPr>
                <w:rFonts w:ascii="Verdana" w:hAnsi="Verdana"/>
                <w:sz w:val="18"/>
                <w:szCs w:val="18"/>
                <w:lang w:val="mk-MK"/>
              </w:rPr>
              <w:t>реакции</w:t>
            </w:r>
            <w:r w:rsidR="00BD098C"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 за сајбер-криминал и искуства при размена на информации</w:t>
            </w:r>
          </w:p>
          <w:p w14:paraId="5EFF4BEF" w14:textId="26BB4778" w:rsidR="00F824B2" w:rsidRPr="0078524C" w:rsidRDefault="00BD098C" w:rsidP="0078524C">
            <w:pPr>
              <w:pStyle w:val="ListParagraph"/>
              <w:numPr>
                <w:ilvl w:val="0"/>
                <w:numId w:val="22"/>
              </w:numPr>
              <w:spacing w:before="120" w:after="120" w:line="260" w:lineRule="atLeast"/>
              <w:contextualSpacing w:val="0"/>
              <w:rPr>
                <w:rFonts w:ascii="Verdana" w:hAnsi="Verdana"/>
                <w:bCs/>
                <w:sz w:val="18"/>
                <w:szCs w:val="18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Специфични искуства на земји за меѓународен одговор на сајбер-криминал (може да се прилагоди</w:t>
            </w:r>
            <w:r w:rsidR="006734C0" w:rsidRPr="0078524C">
              <w:rPr>
                <w:rFonts w:ascii="Verdana" w:hAnsi="Verdana"/>
                <w:sz w:val="18"/>
                <w:szCs w:val="18"/>
                <w:lang w:val="mk-MK"/>
              </w:rPr>
              <w:t>)</w:t>
            </w:r>
          </w:p>
        </w:tc>
      </w:tr>
      <w:tr w:rsidR="005A4E47" w:rsidRPr="0078524C" w14:paraId="7760520D" w14:textId="77777777" w:rsidTr="002E1D4C">
        <w:trPr>
          <w:trHeight w:val="728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283CB935" w:rsidR="005A4E47" w:rsidRPr="0078524C" w:rsidRDefault="00BD098C" w:rsidP="0078524C">
            <w:pPr>
              <w:spacing w:before="120" w:after="120" w:line="260" w:lineRule="atLeast"/>
              <w:rPr>
                <w:rFonts w:ascii="Verdana" w:hAnsi="Verdana"/>
                <w:b/>
                <w:sz w:val="28"/>
                <w:szCs w:val="28"/>
              </w:rPr>
            </w:pPr>
            <w:r w:rsidRPr="0078524C">
              <w:rPr>
                <w:rFonts w:ascii="Verdana" w:hAnsi="Verdana"/>
                <w:b/>
                <w:sz w:val="28"/>
                <w:szCs w:val="28"/>
                <w:lang w:val="mk-MK"/>
              </w:rPr>
              <w:t>Содржина на лекцијата</w:t>
            </w:r>
          </w:p>
        </w:tc>
      </w:tr>
      <w:tr w:rsidR="00F1574D" w:rsidRPr="0078524C" w14:paraId="57CC7AA4" w14:textId="77777777" w:rsidTr="002E1D4C">
        <w:trPr>
          <w:trHeight w:val="629"/>
        </w:trPr>
        <w:tc>
          <w:tcPr>
            <w:tcW w:w="1525" w:type="dxa"/>
            <w:shd w:val="clear" w:color="auto" w:fill="D9E2F3" w:themeFill="accent1" w:themeFillTint="33"/>
            <w:vAlign w:val="center"/>
          </w:tcPr>
          <w:p w14:paraId="4538C338" w14:textId="3C99E784" w:rsidR="00D82C18" w:rsidRPr="0078524C" w:rsidRDefault="00BD098C" w:rsidP="0078524C">
            <w:pPr>
              <w:spacing w:before="120" w:after="120" w:line="260" w:lineRule="atLeas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8524C">
              <w:rPr>
                <w:rFonts w:ascii="Verdana" w:hAnsi="Verdana"/>
                <w:b/>
                <w:sz w:val="22"/>
                <w:szCs w:val="22"/>
                <w:lang w:val="mk-MK"/>
              </w:rPr>
              <w:t>Број на слајдови</w:t>
            </w:r>
          </w:p>
        </w:tc>
        <w:tc>
          <w:tcPr>
            <w:tcW w:w="7797" w:type="dxa"/>
            <w:gridSpan w:val="2"/>
            <w:shd w:val="clear" w:color="auto" w:fill="D9E2F3" w:themeFill="accent1" w:themeFillTint="33"/>
            <w:vAlign w:val="center"/>
          </w:tcPr>
          <w:p w14:paraId="2DA616FC" w14:textId="775394CE" w:rsidR="00D82C18" w:rsidRPr="0078524C" w:rsidRDefault="00BD098C" w:rsidP="0078524C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78524C">
              <w:rPr>
                <w:rFonts w:ascii="Verdana" w:hAnsi="Verdana"/>
                <w:b/>
                <w:sz w:val="22"/>
                <w:szCs w:val="22"/>
                <w:lang w:val="mk-MK"/>
              </w:rPr>
              <w:t>Содржина</w:t>
            </w:r>
          </w:p>
        </w:tc>
      </w:tr>
      <w:tr w:rsidR="00F1574D" w:rsidRPr="0078524C" w14:paraId="11A12D7E" w14:textId="77777777" w:rsidTr="002E1D4C">
        <w:trPr>
          <w:trHeight w:val="1043"/>
        </w:trPr>
        <w:tc>
          <w:tcPr>
            <w:tcW w:w="1525" w:type="dxa"/>
            <w:vAlign w:val="center"/>
          </w:tcPr>
          <w:p w14:paraId="5A89CF27" w14:textId="6F1963BE" w:rsidR="00F1574D" w:rsidRPr="0078524C" w:rsidRDefault="00BD098C" w:rsidP="0078524C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1 до 3</w:t>
            </w:r>
          </w:p>
        </w:tc>
        <w:tc>
          <w:tcPr>
            <w:tcW w:w="7797" w:type="dxa"/>
            <w:gridSpan w:val="2"/>
            <w:vAlign w:val="center"/>
          </w:tcPr>
          <w:p w14:paraId="36345B59" w14:textId="06D04EC6" w:rsidR="00556D69" w:rsidRPr="0078524C" w:rsidRDefault="00BD098C" w:rsidP="0078524C">
            <w:pPr>
              <w:spacing w:before="120" w:after="120" w:line="260" w:lineRule="atLeast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78524C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Почетните сла</w:t>
            </w:r>
            <w:r w:rsidR="00FA5017" w:rsidRPr="0078524C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јдови се воведот во сесијата и ги</w:t>
            </w:r>
            <w:r w:rsidRPr="0078524C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вклучуваат </w:t>
            </w:r>
            <w:r w:rsidR="00FA5017" w:rsidRPr="0078524C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дневниот ред</w:t>
            </w:r>
            <w:r w:rsidRPr="0078524C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и целите на сесијата заедно со некои по</w:t>
            </w:r>
            <w:r w:rsidR="006734C0" w:rsidRPr="0078524C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д</w:t>
            </w:r>
            <w:r w:rsidR="00AF4764" w:rsidRPr="0078524C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-</w:t>
            </w:r>
            <w:r w:rsidRPr="0078524C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теми за потсетување од Воведната обука.</w:t>
            </w:r>
            <w:r w:rsidR="00556D69" w:rsidRPr="0078524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A60446" w:rsidRPr="0078524C" w14:paraId="42D2960A" w14:textId="77777777" w:rsidTr="002E1D4C">
        <w:trPr>
          <w:trHeight w:val="1880"/>
        </w:trPr>
        <w:tc>
          <w:tcPr>
            <w:tcW w:w="1525" w:type="dxa"/>
            <w:vAlign w:val="center"/>
          </w:tcPr>
          <w:p w14:paraId="3DAC33AA" w14:textId="6106F921" w:rsidR="00A60446" w:rsidRPr="0078524C" w:rsidRDefault="00BD098C" w:rsidP="0078524C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4 до 6</w:t>
            </w:r>
          </w:p>
        </w:tc>
        <w:tc>
          <w:tcPr>
            <w:tcW w:w="7797" w:type="dxa"/>
            <w:gridSpan w:val="2"/>
            <w:vAlign w:val="center"/>
          </w:tcPr>
          <w:p w14:paraId="5929DC54" w14:textId="63905BCD" w:rsidR="003B34C4" w:rsidRPr="0078524C" w:rsidRDefault="00BD098C" w:rsidP="0078524C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Овие слајдови даваат преглед во разликите помеѓу </w:t>
            </w:r>
            <w:r w:rsidR="00FA5017" w:rsidRPr="0078524C">
              <w:rPr>
                <w:rFonts w:ascii="Verdana" w:eastAsia="Times New Roman" w:hAnsi="Verdana"/>
                <w:szCs w:val="18"/>
                <w:lang w:val="mk-MK"/>
              </w:rPr>
              <w:t>формалната и, така наречената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>, неформалната заемна правна помош во кривични предмети.</w:t>
            </w:r>
            <w:r w:rsidR="003B34C4" w:rsidRPr="0078524C">
              <w:rPr>
                <w:rFonts w:ascii="Verdana" w:eastAsia="Times New Roman" w:hAnsi="Verdana"/>
                <w:szCs w:val="18"/>
              </w:rPr>
              <w:t xml:space="preserve"> </w:t>
            </w:r>
          </w:p>
          <w:p w14:paraId="4BCB6BBA" w14:textId="1724DFF8" w:rsidR="003B34C4" w:rsidRPr="0078524C" w:rsidRDefault="00BD098C" w:rsidP="0078524C">
            <w:pPr>
              <w:pStyle w:val="Subtitle"/>
              <w:spacing w:before="120" w:line="260" w:lineRule="atLeast"/>
              <w:rPr>
                <w:rFonts w:ascii="Verdana" w:eastAsia="MS PGothic" w:hAnsi="Verdana" w:cs="MS PGothic"/>
                <w:kern w:val="24"/>
                <w:sz w:val="36"/>
                <w:szCs w:val="36"/>
                <w:lang w:eastAsia="en-GB"/>
              </w:rPr>
            </w:pP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Обвинителите и судиите кои поднесуваат формално барање треба секогаш да ја </w:t>
            </w:r>
            <w:r w:rsidR="00FA5017" w:rsidRPr="0078524C">
              <w:rPr>
                <w:rFonts w:ascii="Verdana" w:eastAsia="Times New Roman" w:hAnsi="Verdana"/>
                <w:szCs w:val="18"/>
                <w:lang w:val="mk-MK"/>
              </w:rPr>
              <w:t>докажат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 меѓународната обврска на </w:t>
            </w:r>
            <w:r w:rsidR="00FA5017" w:rsidRPr="0078524C">
              <w:rPr>
                <w:rFonts w:ascii="Verdana" w:eastAsia="Times New Roman" w:hAnsi="Verdana"/>
                <w:szCs w:val="18"/>
                <w:lang w:val="mk-MK"/>
              </w:rPr>
              <w:t>побараната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 земја за помош кога таквата обврск</w:t>
            </w:r>
            <w:r w:rsidR="00FA5017" w:rsidRPr="0078524C">
              <w:rPr>
                <w:rFonts w:ascii="Verdana" w:eastAsia="Times New Roman" w:hAnsi="Verdana"/>
                <w:szCs w:val="18"/>
                <w:lang w:val="mk-MK"/>
              </w:rPr>
              <w:t xml:space="preserve">а 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>постои п</w:t>
            </w:r>
            <w:r w:rsidR="00FA5017" w:rsidRPr="0078524C">
              <w:rPr>
                <w:rFonts w:ascii="Verdana" w:eastAsia="Times New Roman" w:hAnsi="Verdana"/>
                <w:szCs w:val="18"/>
                <w:lang w:val="mk-MK"/>
              </w:rPr>
              <w:t>о пат на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 меѓународен инструмент.</w:t>
            </w:r>
            <w:r w:rsidR="003B34C4" w:rsidRPr="0078524C">
              <w:rPr>
                <w:rFonts w:ascii="Verdana" w:eastAsia="Times New Roman" w:hAnsi="Verdana"/>
                <w:szCs w:val="18"/>
              </w:rPr>
              <w:t xml:space="preserve"> 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Подеднакво, органот до кој </w:t>
            </w:r>
            <w:r w:rsidR="00FA5017" w:rsidRPr="0078524C">
              <w:rPr>
                <w:rFonts w:ascii="Verdana" w:eastAsia="Times New Roman" w:hAnsi="Verdana"/>
                <w:szCs w:val="18"/>
                <w:lang w:val="mk-MK"/>
              </w:rPr>
              <w:t>е напишано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 писмото со барање, треба исто така да биде </w:t>
            </w:r>
            <w:r w:rsidR="00FA5017" w:rsidRPr="0078524C">
              <w:rPr>
                <w:rFonts w:ascii="Verdana" w:eastAsia="Times New Roman" w:hAnsi="Verdana"/>
                <w:szCs w:val="18"/>
                <w:lang w:val="mk-MK"/>
              </w:rPr>
              <w:t>напишано со зборови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>.</w:t>
            </w:r>
            <w:r w:rsidR="003B34C4" w:rsidRPr="0078524C">
              <w:rPr>
                <w:rFonts w:ascii="Verdana" w:eastAsia="MS PGothic" w:hAnsi="Verdana" w:cs="MS PGothic"/>
                <w:kern w:val="24"/>
                <w:sz w:val="36"/>
                <w:szCs w:val="36"/>
                <w:lang w:eastAsia="en-GB"/>
              </w:rPr>
              <w:t xml:space="preserve"> </w:t>
            </w:r>
          </w:p>
          <w:p w14:paraId="1246D7D4" w14:textId="68FD8F6D" w:rsidR="00A60446" w:rsidRPr="0078524C" w:rsidRDefault="00FA5017" w:rsidP="0078524C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78524C">
              <w:rPr>
                <w:rFonts w:ascii="Verdana" w:eastAsia="Times New Roman" w:hAnsi="Verdana"/>
                <w:szCs w:val="18"/>
                <w:lang w:val="mk-MK"/>
              </w:rPr>
              <w:t>А</w:t>
            </w:r>
            <w:r w:rsidR="001C734F" w:rsidRPr="0078524C">
              <w:rPr>
                <w:rFonts w:ascii="Verdana" w:eastAsia="Times New Roman" w:hAnsi="Verdana"/>
                <w:szCs w:val="18"/>
                <w:lang w:val="mk-MK"/>
              </w:rPr>
              <w:t xml:space="preserve">дминистративната помош треба и може да се користи и при барање за собирање докази 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>од</w:t>
            </w:r>
            <w:r w:rsidR="001C734F" w:rsidRPr="0078524C">
              <w:rPr>
                <w:rFonts w:ascii="Verdana" w:eastAsia="Times New Roman" w:hAnsi="Verdana"/>
                <w:szCs w:val="18"/>
                <w:lang w:val="mk-MK"/>
              </w:rPr>
              <w:t xml:space="preserve"> земја во која не се бара употреба на </w:t>
            </w:r>
            <w:r w:rsidR="006734C0" w:rsidRPr="0078524C">
              <w:rPr>
                <w:rFonts w:ascii="Verdana" w:eastAsia="Times New Roman" w:hAnsi="Verdana"/>
                <w:szCs w:val="18"/>
                <w:lang w:val="mk-MK"/>
              </w:rPr>
              <w:t xml:space="preserve">овластување со </w:t>
            </w:r>
            <w:r w:rsidR="001C734F" w:rsidRPr="0078524C">
              <w:rPr>
                <w:rFonts w:ascii="Verdana" w:eastAsia="Times New Roman" w:hAnsi="Verdana"/>
                <w:szCs w:val="18"/>
                <w:lang w:val="mk-MK"/>
              </w:rPr>
              <w:t>присил</w:t>
            </w:r>
            <w:r w:rsidR="006734C0" w:rsidRPr="0078524C">
              <w:rPr>
                <w:rFonts w:ascii="Verdana" w:eastAsia="Times New Roman" w:hAnsi="Verdana"/>
                <w:szCs w:val="18"/>
                <w:lang w:val="mk-MK"/>
              </w:rPr>
              <w:t>а</w:t>
            </w:r>
            <w:r w:rsidR="001C734F" w:rsidRPr="0078524C">
              <w:rPr>
                <w:rFonts w:ascii="Verdana" w:eastAsia="Times New Roman" w:hAnsi="Verdana"/>
                <w:szCs w:val="18"/>
                <w:lang w:val="mk-MK"/>
              </w:rPr>
              <w:t xml:space="preserve"> (на пример, потерница или судска наредба</w:t>
            </w:r>
            <w:r w:rsidR="006734C0" w:rsidRPr="0078524C">
              <w:rPr>
                <w:rFonts w:ascii="Verdana" w:eastAsia="Times New Roman" w:hAnsi="Verdana"/>
                <w:szCs w:val="18"/>
                <w:lang w:val="mk-MK"/>
              </w:rPr>
              <w:t>/налог</w:t>
            </w:r>
            <w:r w:rsidR="001C734F" w:rsidRPr="0078524C">
              <w:rPr>
                <w:rFonts w:ascii="Verdana" w:eastAsia="Times New Roman" w:hAnsi="Verdana"/>
                <w:szCs w:val="18"/>
                <w:lang w:val="mk-MK"/>
              </w:rPr>
              <w:t>) за да се добијат доказите.</w:t>
            </w:r>
            <w:r w:rsidR="003B34C4" w:rsidRPr="0078524C">
              <w:rPr>
                <w:rFonts w:ascii="Verdana" w:eastAsia="Times New Roman" w:hAnsi="Verdana"/>
                <w:szCs w:val="18"/>
              </w:rPr>
              <w:t xml:space="preserve"> </w:t>
            </w:r>
            <w:r w:rsidR="001C734F" w:rsidRPr="0078524C">
              <w:rPr>
                <w:rFonts w:ascii="Verdana" w:eastAsia="Times New Roman" w:hAnsi="Verdana"/>
                <w:szCs w:val="18"/>
                <w:lang w:val="mk-MK"/>
              </w:rPr>
              <w:t>Таквиот пристап го намалува ризикот од доцнење и ќе биде добредојден од повеќе земји.</w:t>
            </w:r>
            <w:r w:rsidR="003B34C4" w:rsidRPr="0078524C">
              <w:rPr>
                <w:rFonts w:ascii="Verdana" w:eastAsia="Times New Roman" w:hAnsi="Verdana"/>
                <w:szCs w:val="18"/>
              </w:rPr>
              <w:t xml:space="preserve"> </w:t>
            </w:r>
          </w:p>
        </w:tc>
      </w:tr>
      <w:tr w:rsidR="003B34C4" w:rsidRPr="0078524C" w14:paraId="19763061" w14:textId="77777777" w:rsidTr="002E1D4C">
        <w:trPr>
          <w:trHeight w:val="1880"/>
        </w:trPr>
        <w:tc>
          <w:tcPr>
            <w:tcW w:w="1525" w:type="dxa"/>
            <w:vAlign w:val="center"/>
          </w:tcPr>
          <w:p w14:paraId="58BC834A" w14:textId="2D69BFAA" w:rsidR="003B34C4" w:rsidRPr="0078524C" w:rsidRDefault="001C734F" w:rsidP="0078524C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7 до 8</w:t>
            </w:r>
          </w:p>
        </w:tc>
        <w:tc>
          <w:tcPr>
            <w:tcW w:w="7797" w:type="dxa"/>
            <w:gridSpan w:val="2"/>
            <w:vAlign w:val="center"/>
          </w:tcPr>
          <w:p w14:paraId="7391A0F1" w14:textId="4CEAB46C" w:rsidR="003B34C4" w:rsidRPr="0078524C" w:rsidRDefault="001C734F" w:rsidP="0078524C">
            <w:pPr>
              <w:pStyle w:val="Subtitle"/>
              <w:spacing w:before="120" w:line="260" w:lineRule="atLeast"/>
              <w:rPr>
                <w:rFonts w:ascii="Verdana" w:eastAsia="MS PGothic" w:hAnsi="Verdana" w:cs="MS PGothic"/>
                <w:iCs w:val="0"/>
                <w:kern w:val="24"/>
                <w:sz w:val="36"/>
                <w:szCs w:val="36"/>
              </w:rPr>
            </w:pPr>
            <w:r w:rsidRPr="0078524C">
              <w:rPr>
                <w:rFonts w:ascii="Verdana" w:eastAsia="Times New Roman" w:hAnsi="Verdana"/>
                <w:szCs w:val="18"/>
                <w:lang w:val="mk-MK"/>
              </w:rPr>
              <w:t>Овие слајдови даваат повеќе примери за формална и неформална помош.</w:t>
            </w:r>
            <w:r w:rsidR="003B34C4" w:rsidRPr="0078524C">
              <w:rPr>
                <w:rFonts w:ascii="Verdana" w:eastAsia="MS PGothic" w:hAnsi="Verdana" w:cs="MS PGothic"/>
                <w:iCs w:val="0"/>
                <w:kern w:val="24"/>
                <w:sz w:val="36"/>
                <w:szCs w:val="36"/>
              </w:rPr>
              <w:t xml:space="preserve"> </w:t>
            </w:r>
          </w:p>
          <w:p w14:paraId="4DCD3927" w14:textId="7C63A041" w:rsidR="003B34C4" w:rsidRPr="0078524C" w:rsidRDefault="001C734F" w:rsidP="0078524C">
            <w:pPr>
              <w:pStyle w:val="Subtitle"/>
              <w:spacing w:before="120" w:line="260" w:lineRule="atLeast"/>
              <w:rPr>
                <w:rFonts w:ascii="Verdana" w:eastAsia="MS PGothic" w:hAnsi="Verdana" w:cs="MS PGothic"/>
                <w:kern w:val="24"/>
                <w:sz w:val="36"/>
                <w:szCs w:val="36"/>
                <w:lang w:eastAsia="en-GB"/>
              </w:rPr>
            </w:pP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Треба да се запомни дека режимот на заемна правна помош е за добивање докази; затоа, добивањето на разузнавачки информации и лоцирањето на осомничените или бегалците обично треба да се бара по пат на административна помош за која, се разбира, може или не може да </w:t>
            </w:r>
            <w:r w:rsidR="006734C0" w:rsidRPr="0078524C">
              <w:rPr>
                <w:rFonts w:ascii="Verdana" w:eastAsia="Times New Roman" w:hAnsi="Verdana"/>
                <w:szCs w:val="18"/>
                <w:lang w:val="mk-MK"/>
              </w:rPr>
              <w:t>има претходен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 договор.</w:t>
            </w:r>
            <w:r w:rsidR="003B34C4" w:rsidRPr="0078524C">
              <w:rPr>
                <w:rFonts w:ascii="Verdana" w:eastAsia="MS PGothic" w:hAnsi="Verdana" w:cs="MS PGothic"/>
                <w:kern w:val="24"/>
                <w:sz w:val="36"/>
                <w:szCs w:val="36"/>
                <w:lang w:eastAsia="en-GB"/>
              </w:rPr>
              <w:t xml:space="preserve"> </w:t>
            </w:r>
          </w:p>
          <w:p w14:paraId="307F7D37" w14:textId="3E19E12D" w:rsidR="003B34C4" w:rsidRPr="0078524C" w:rsidRDefault="001C734F" w:rsidP="0078524C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78524C">
              <w:rPr>
                <w:rFonts w:ascii="Verdana" w:eastAsia="Times New Roman" w:hAnsi="Verdana"/>
                <w:szCs w:val="18"/>
                <w:lang w:val="mk-MK"/>
              </w:rPr>
              <w:t>Иако не може да се направи дефинитивен список за видот на истрагите со кои може да се работи неформално, можат да бидат корисни некои општи набљудувања.</w:t>
            </w:r>
          </w:p>
          <w:p w14:paraId="53059D73" w14:textId="01E03EB6" w:rsidR="003B34C4" w:rsidRPr="0078524C" w:rsidRDefault="00FA5017" w:rsidP="0078524C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78524C">
              <w:rPr>
                <w:rFonts w:ascii="Verdana" w:eastAsia="Times New Roman" w:hAnsi="Verdana"/>
                <w:szCs w:val="18"/>
                <w:lang w:val="mk-MK"/>
              </w:rPr>
              <w:t>Меѓутоа</w:t>
            </w:r>
            <w:r w:rsidR="001C734F" w:rsidRPr="0078524C">
              <w:rPr>
                <w:rFonts w:ascii="Verdana" w:eastAsia="Times New Roman" w:hAnsi="Verdana"/>
                <w:szCs w:val="18"/>
                <w:lang w:val="mk-MK"/>
              </w:rPr>
              <w:t xml:space="preserve">, 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мора секогаш да се имаат предвид </w:t>
            </w:r>
            <w:r w:rsidR="001C734F" w:rsidRPr="0078524C">
              <w:rPr>
                <w:rFonts w:ascii="Verdana" w:eastAsia="Times New Roman" w:hAnsi="Verdana"/>
                <w:szCs w:val="18"/>
                <w:lang w:val="mk-MK"/>
              </w:rPr>
              <w:t>варијациите од земја до земја.</w:t>
            </w:r>
          </w:p>
        </w:tc>
      </w:tr>
      <w:tr w:rsidR="003B34C4" w:rsidRPr="0078524C" w14:paraId="2DD044A7" w14:textId="77777777" w:rsidTr="002E1D4C">
        <w:trPr>
          <w:trHeight w:val="1070"/>
        </w:trPr>
        <w:tc>
          <w:tcPr>
            <w:tcW w:w="1525" w:type="dxa"/>
            <w:vAlign w:val="center"/>
          </w:tcPr>
          <w:p w14:paraId="4CFF30A3" w14:textId="12D28AE9" w:rsidR="003B34C4" w:rsidRPr="0078524C" w:rsidRDefault="001C734F" w:rsidP="0078524C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9 до</w:t>
            </w:r>
            <w:r w:rsidR="006943A3"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 12</w:t>
            </w:r>
          </w:p>
        </w:tc>
        <w:tc>
          <w:tcPr>
            <w:tcW w:w="7797" w:type="dxa"/>
            <w:gridSpan w:val="2"/>
            <w:vAlign w:val="center"/>
          </w:tcPr>
          <w:p w14:paraId="31B8105B" w14:textId="3227C85E" w:rsidR="0023008E" w:rsidRPr="0078524C" w:rsidRDefault="006943A3" w:rsidP="0078524C">
            <w:pPr>
              <w:pStyle w:val="Subtitle"/>
              <w:spacing w:before="120" w:line="260" w:lineRule="atLeast"/>
              <w:rPr>
                <w:rFonts w:ascii="Verdana" w:eastAsia="MS PGothic" w:hAnsi="Verdana" w:cs="MS PGothic"/>
                <w:kern w:val="24"/>
                <w:sz w:val="36"/>
                <w:szCs w:val="36"/>
                <w:lang w:eastAsia="en-GB"/>
              </w:rPr>
            </w:pP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Овие слајдови ја истражуваат </w:t>
            </w:r>
            <w:r w:rsidR="00FA5017" w:rsidRPr="0078524C">
              <w:rPr>
                <w:rFonts w:ascii="Verdana" w:eastAsia="Times New Roman" w:hAnsi="Verdana"/>
                <w:szCs w:val="18"/>
                <w:lang w:val="mk-MK"/>
              </w:rPr>
              <w:t>прифатливоста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 на докази стекнати преку неформална помош и некои клучни размислувања и препораки.</w:t>
            </w:r>
            <w:r w:rsidR="0023008E" w:rsidRPr="0078524C">
              <w:rPr>
                <w:rFonts w:ascii="Verdana" w:eastAsia="MS PGothic" w:hAnsi="Verdana" w:cs="MS PGothic"/>
                <w:kern w:val="24"/>
                <w:sz w:val="36"/>
                <w:szCs w:val="36"/>
                <w:lang w:eastAsia="en-GB"/>
              </w:rPr>
              <w:t xml:space="preserve"> </w:t>
            </w:r>
          </w:p>
          <w:p w14:paraId="76167D24" w14:textId="3B3E7FB6" w:rsidR="0023008E" w:rsidRPr="0078524C" w:rsidRDefault="006943A3" w:rsidP="0078524C">
            <w:pPr>
              <w:pStyle w:val="Subtitle"/>
              <w:spacing w:before="120" w:line="260" w:lineRule="atLeast"/>
              <w:rPr>
                <w:rFonts w:ascii="Verdana" w:eastAsia="MS PGothic" w:hAnsi="Verdana" w:cs="MS PGothic"/>
                <w:kern w:val="24"/>
                <w:sz w:val="36"/>
                <w:szCs w:val="36"/>
                <w:lang w:eastAsia="en-GB"/>
              </w:rPr>
            </w:pP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Секое размислување за административна помош не треба да ја занемари употребата </w:t>
            </w:r>
            <w:r w:rsidR="00FA5017" w:rsidRPr="0078524C">
              <w:rPr>
                <w:rFonts w:ascii="Verdana" w:eastAsia="Times New Roman" w:hAnsi="Verdana"/>
                <w:szCs w:val="18"/>
                <w:lang w:val="mk-MK"/>
              </w:rPr>
              <w:t>со која може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 се отвори патот за подоцнежно, формално барање.</w:t>
            </w:r>
            <w:r w:rsidR="0023008E" w:rsidRPr="0078524C">
              <w:rPr>
                <w:rFonts w:ascii="Verdana" w:eastAsia="MS PGothic" w:hAnsi="Verdana" w:cs="MS PGothic"/>
                <w:kern w:val="24"/>
                <w:sz w:val="36"/>
                <w:szCs w:val="36"/>
                <w:lang w:eastAsia="en-GB"/>
              </w:rPr>
              <w:t xml:space="preserve"> </w:t>
            </w:r>
          </w:p>
          <w:p w14:paraId="74F9CA3C" w14:textId="67B6407B" w:rsidR="0023008E" w:rsidRPr="0078524C" w:rsidRDefault="006943A3" w:rsidP="0078524C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78524C">
              <w:rPr>
                <w:rFonts w:ascii="Verdana" w:eastAsia="Times New Roman" w:hAnsi="Verdana"/>
                <w:szCs w:val="18"/>
                <w:lang w:val="mk-MK"/>
              </w:rPr>
              <w:t>Можната тешкотија да не се обрне внимание на тие елементи може да биде дека (во земјите со принцип на исклучување во врска со доказите) таквите докази ќе бидат и</w:t>
            </w:r>
            <w:r w:rsidR="00FA5017" w:rsidRPr="0078524C">
              <w:rPr>
                <w:rFonts w:ascii="Verdana" w:eastAsia="Times New Roman" w:hAnsi="Verdana"/>
                <w:szCs w:val="18"/>
                <w:lang w:val="mk-MK"/>
              </w:rPr>
              <w:t>сфрлени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; покрај тоа, но не </w:t>
            </w:r>
            <w:r w:rsidR="00FA5017" w:rsidRPr="0078524C">
              <w:rPr>
                <w:rFonts w:ascii="Verdana" w:eastAsia="Times New Roman" w:hAnsi="Verdana"/>
                <w:szCs w:val="18"/>
                <w:lang w:val="mk-MK"/>
              </w:rPr>
              <w:t>од помалку значење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>, несоодветните активности по пат на неформално барање може многу да ги иритираат властите на странската држава, кои би можеле да бидат помалку склони да помогнат со какво било идно барање.</w:t>
            </w:r>
          </w:p>
        </w:tc>
      </w:tr>
      <w:tr w:rsidR="00F1574D" w:rsidRPr="0078524C" w14:paraId="65F07CB5" w14:textId="77777777" w:rsidTr="002E1D4C">
        <w:trPr>
          <w:trHeight w:val="1880"/>
        </w:trPr>
        <w:tc>
          <w:tcPr>
            <w:tcW w:w="1525" w:type="dxa"/>
            <w:vAlign w:val="center"/>
          </w:tcPr>
          <w:p w14:paraId="6F5AEB2D" w14:textId="49D02086" w:rsidR="00F1574D" w:rsidRPr="0078524C" w:rsidRDefault="0023008E" w:rsidP="0078524C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8524C">
              <w:rPr>
                <w:rFonts w:ascii="Verdana" w:hAnsi="Verdana"/>
                <w:sz w:val="18"/>
                <w:szCs w:val="18"/>
              </w:rPr>
              <w:t>1</w:t>
            </w:r>
            <w:r w:rsidR="004E4F3D" w:rsidRPr="0078524C">
              <w:rPr>
                <w:rFonts w:ascii="Verdana" w:hAnsi="Verdana"/>
                <w:sz w:val="18"/>
                <w:szCs w:val="18"/>
              </w:rPr>
              <w:t>3</w:t>
            </w:r>
            <w:r w:rsidR="00A527C5" w:rsidRPr="0078524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51E6A" w:rsidRPr="0078524C"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78524C">
              <w:rPr>
                <w:rFonts w:ascii="Verdana" w:hAnsi="Verdana"/>
                <w:sz w:val="18"/>
                <w:szCs w:val="18"/>
              </w:rPr>
              <w:t>1</w:t>
            </w:r>
            <w:r w:rsidR="004E4F3D" w:rsidRPr="0078524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7797" w:type="dxa"/>
            <w:gridSpan w:val="2"/>
            <w:vAlign w:val="center"/>
          </w:tcPr>
          <w:p w14:paraId="4F294926" w14:textId="55D4A6F1" w:rsidR="0045500D" w:rsidRPr="0078524C" w:rsidRDefault="00B37349" w:rsidP="0078524C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78524C">
              <w:rPr>
                <w:rFonts w:ascii="Verdana" w:eastAsia="Times New Roman" w:hAnsi="Verdana"/>
                <w:szCs w:val="18"/>
                <w:lang w:val="mk-MK"/>
              </w:rPr>
              <w:t>Овие слајдови ги објаснуваат поставките и можностите за употреба на ИНТЕРПОЛ како мрежа за размена на неформални информации.</w:t>
            </w:r>
            <w:r w:rsidR="0045500D" w:rsidRPr="0078524C">
              <w:rPr>
                <w:rFonts w:ascii="Verdana" w:eastAsia="Times New Roman" w:hAnsi="Verdana"/>
                <w:szCs w:val="18"/>
              </w:rPr>
              <w:t xml:space="preserve"> </w:t>
            </w:r>
          </w:p>
          <w:p w14:paraId="0F942724" w14:textId="6BD95621" w:rsidR="0045500D" w:rsidRPr="0078524C" w:rsidRDefault="00B37349" w:rsidP="0078524C">
            <w:pPr>
              <w:pStyle w:val="Subtitle"/>
              <w:spacing w:before="120" w:line="260" w:lineRule="atLeast"/>
              <w:rPr>
                <w:rFonts w:ascii="Verdana" w:eastAsia="MS PGothic" w:hAnsi="Verdana" w:cs="MS PGothic"/>
                <w:kern w:val="24"/>
                <w:lang w:eastAsia="en-GB"/>
              </w:rPr>
            </w:pPr>
            <w:r w:rsidRPr="0078524C">
              <w:rPr>
                <w:rFonts w:ascii="Verdana" w:eastAsia="Times New Roman" w:hAnsi="Verdana"/>
                <w:szCs w:val="18"/>
                <w:lang w:val="mk-MK"/>
              </w:rPr>
              <w:t>Секоја од земјите-членки е домаќин на Национално</w:t>
            </w:r>
            <w:r w:rsidR="00827150" w:rsidRPr="0078524C">
              <w:rPr>
                <w:rFonts w:ascii="Verdana" w:eastAsia="Times New Roman" w:hAnsi="Verdana"/>
                <w:szCs w:val="18"/>
                <w:lang w:val="mk-MK"/>
              </w:rPr>
              <w:t>то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 централно биро (НЦБ) на ИНТЕРПОЛ.</w:t>
            </w:r>
            <w:r w:rsidR="0045500D" w:rsidRPr="0078524C">
              <w:rPr>
                <w:rFonts w:ascii="Verdana" w:eastAsia="Times New Roman" w:hAnsi="Verdana"/>
                <w:szCs w:val="18"/>
              </w:rPr>
              <w:t xml:space="preserve"> 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>Ова г</w:t>
            </w:r>
            <w:r w:rsidR="00AF4764" w:rsidRPr="0078524C">
              <w:rPr>
                <w:rFonts w:ascii="Verdana" w:eastAsia="Times New Roman" w:hAnsi="Verdana"/>
                <w:szCs w:val="18"/>
                <w:lang w:val="mk-MK"/>
              </w:rPr>
              <w:t>и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 поврзува нивн</w:t>
            </w:r>
            <w:r w:rsidR="00AF4764" w:rsidRPr="0078524C">
              <w:rPr>
                <w:rFonts w:ascii="Verdana" w:eastAsia="Times New Roman" w:hAnsi="Verdana"/>
                <w:szCs w:val="18"/>
                <w:lang w:val="mk-MK"/>
              </w:rPr>
              <w:t>ите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 националн</w:t>
            </w:r>
            <w:r w:rsidR="00AF4764" w:rsidRPr="0078524C">
              <w:rPr>
                <w:rFonts w:ascii="Verdana" w:eastAsia="Times New Roman" w:hAnsi="Verdana"/>
                <w:szCs w:val="18"/>
                <w:lang w:val="mk-MK"/>
              </w:rPr>
              <w:t>и органи за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 спроведување на законот со други земји и со Генералниот секретаријат преку нашата безбедна глобална полициска комуникациска мрежа наречена I-24/7.</w:t>
            </w:r>
            <w:r w:rsidR="0045500D" w:rsidRPr="0078524C">
              <w:rPr>
                <w:rFonts w:ascii="Verdana" w:eastAsia="MS PGothic" w:hAnsi="Verdana" w:cs="MS PGothic"/>
                <w:kern w:val="24"/>
                <w:lang w:eastAsia="en-GB"/>
              </w:rPr>
              <w:t xml:space="preserve"> </w:t>
            </w:r>
          </w:p>
          <w:p w14:paraId="5A97A890" w14:textId="323FD36B" w:rsidR="0045500D" w:rsidRPr="0078524C" w:rsidRDefault="00B37349" w:rsidP="0078524C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78524C">
              <w:rPr>
                <w:rFonts w:ascii="Verdana" w:eastAsia="Times New Roman" w:hAnsi="Verdana"/>
                <w:szCs w:val="18"/>
                <w:lang w:val="mk-MK"/>
              </w:rPr>
              <w:t>НЦБ придонесува</w:t>
            </w:r>
            <w:r w:rsidR="00827150" w:rsidRPr="0078524C">
              <w:rPr>
                <w:rFonts w:ascii="Verdana" w:eastAsia="Times New Roman" w:hAnsi="Verdana"/>
                <w:szCs w:val="18"/>
                <w:lang w:val="mk-MK"/>
              </w:rPr>
              <w:t>ат со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 национални податоци за криминал во нашите глобални бази</w:t>
            </w:r>
            <w:r w:rsidR="00FA5017" w:rsidRPr="0078524C">
              <w:rPr>
                <w:rFonts w:ascii="Verdana" w:eastAsia="Times New Roman" w:hAnsi="Verdana"/>
                <w:szCs w:val="18"/>
                <w:lang w:val="mk-MK"/>
              </w:rPr>
              <w:t xml:space="preserve"> за податоци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>, во согласност со нивните соодветни национални закони.</w:t>
            </w:r>
            <w:r w:rsidR="0045500D" w:rsidRPr="0078524C">
              <w:rPr>
                <w:rFonts w:ascii="Verdana" w:eastAsia="Times New Roman" w:hAnsi="Verdana"/>
                <w:szCs w:val="18"/>
              </w:rPr>
              <w:t xml:space="preserve"> </w:t>
            </w:r>
            <w:r w:rsidR="00183FDB" w:rsidRPr="0078524C">
              <w:rPr>
                <w:rFonts w:ascii="Verdana" w:eastAsia="Times New Roman" w:hAnsi="Verdana"/>
                <w:szCs w:val="18"/>
                <w:lang w:val="mk-MK"/>
              </w:rPr>
              <w:t xml:space="preserve">Ова осигурува дека точните податоци се на вистинското место во вистинското време за да ѝ се овозможи на полицијата да идентификува </w:t>
            </w:r>
            <w:r w:rsidR="00827150" w:rsidRPr="0078524C">
              <w:rPr>
                <w:rFonts w:ascii="Verdana" w:eastAsia="Times New Roman" w:hAnsi="Verdana"/>
                <w:szCs w:val="18"/>
                <w:lang w:val="mk-MK"/>
              </w:rPr>
              <w:t xml:space="preserve">одредени </w:t>
            </w:r>
            <w:r w:rsidR="00183FDB" w:rsidRPr="0078524C">
              <w:rPr>
                <w:rFonts w:ascii="Verdana" w:eastAsia="Times New Roman" w:hAnsi="Verdana"/>
                <w:szCs w:val="18"/>
                <w:lang w:val="mk-MK"/>
              </w:rPr>
              <w:t>тренд</w:t>
            </w:r>
            <w:r w:rsidR="00827150" w:rsidRPr="0078524C">
              <w:rPr>
                <w:rFonts w:ascii="Verdana" w:eastAsia="Times New Roman" w:hAnsi="Verdana"/>
                <w:szCs w:val="18"/>
                <w:lang w:val="mk-MK"/>
              </w:rPr>
              <w:t>ови</w:t>
            </w:r>
            <w:r w:rsidR="00183FDB" w:rsidRPr="0078524C">
              <w:rPr>
                <w:rFonts w:ascii="Verdana" w:eastAsia="Times New Roman" w:hAnsi="Verdana"/>
                <w:szCs w:val="18"/>
                <w:lang w:val="mk-MK"/>
              </w:rPr>
              <w:t xml:space="preserve">, </w:t>
            </w:r>
            <w:r w:rsidR="00827150" w:rsidRPr="0078524C">
              <w:rPr>
                <w:rFonts w:ascii="Verdana" w:eastAsia="Times New Roman" w:hAnsi="Verdana"/>
                <w:szCs w:val="18"/>
                <w:lang w:val="mk-MK"/>
              </w:rPr>
              <w:t xml:space="preserve">да </w:t>
            </w:r>
            <w:r w:rsidR="00183FDB" w:rsidRPr="0078524C">
              <w:rPr>
                <w:rFonts w:ascii="Verdana" w:eastAsia="Times New Roman" w:hAnsi="Verdana"/>
                <w:szCs w:val="18"/>
                <w:lang w:val="mk-MK"/>
              </w:rPr>
              <w:t xml:space="preserve">спречи кривично дело или да </w:t>
            </w:r>
            <w:r w:rsidR="00FA5017" w:rsidRPr="0078524C">
              <w:rPr>
                <w:rFonts w:ascii="Verdana" w:eastAsia="Times New Roman" w:hAnsi="Verdana"/>
                <w:szCs w:val="18"/>
                <w:lang w:val="mk-MK"/>
              </w:rPr>
              <w:t>уапси</w:t>
            </w:r>
            <w:r w:rsidR="00183FDB" w:rsidRPr="0078524C">
              <w:rPr>
                <w:rFonts w:ascii="Verdana" w:eastAsia="Times New Roman" w:hAnsi="Verdana"/>
                <w:szCs w:val="18"/>
                <w:lang w:val="mk-MK"/>
              </w:rPr>
              <w:t xml:space="preserve"> злосторник.</w:t>
            </w:r>
            <w:r w:rsidR="0045500D" w:rsidRPr="0078524C">
              <w:rPr>
                <w:rFonts w:ascii="Verdana" w:eastAsia="Times New Roman" w:hAnsi="Verdana"/>
                <w:szCs w:val="18"/>
              </w:rPr>
              <w:t xml:space="preserve"> </w:t>
            </w:r>
            <w:r w:rsidR="00183FDB" w:rsidRPr="0078524C">
              <w:rPr>
                <w:rFonts w:ascii="Verdana" w:eastAsia="Times New Roman" w:hAnsi="Verdana"/>
                <w:szCs w:val="18"/>
                <w:lang w:val="mk-MK"/>
              </w:rPr>
              <w:t xml:space="preserve">На пример, нашите </w:t>
            </w:r>
            <w:r w:rsidR="00827150" w:rsidRPr="0078524C">
              <w:rPr>
                <w:rFonts w:ascii="Verdana" w:eastAsia="Times New Roman" w:hAnsi="Verdana"/>
                <w:szCs w:val="18"/>
                <w:lang w:val="mk-MK"/>
              </w:rPr>
              <w:t>ц</w:t>
            </w:r>
            <w:r w:rsidR="00183FDB" w:rsidRPr="0078524C">
              <w:rPr>
                <w:rFonts w:ascii="Verdana" w:eastAsia="Times New Roman" w:hAnsi="Verdana"/>
                <w:szCs w:val="18"/>
                <w:lang w:val="mk-MK"/>
              </w:rPr>
              <w:t xml:space="preserve">рвени </w:t>
            </w:r>
            <w:r w:rsidR="00AF4764" w:rsidRPr="0078524C">
              <w:rPr>
                <w:rFonts w:ascii="Verdana" w:eastAsia="Times New Roman" w:hAnsi="Verdana"/>
                <w:szCs w:val="18"/>
                <w:lang w:val="mk-MK"/>
              </w:rPr>
              <w:t>аларми</w:t>
            </w:r>
            <w:r w:rsidR="00183FDB" w:rsidRPr="0078524C">
              <w:rPr>
                <w:rFonts w:ascii="Verdana" w:eastAsia="Times New Roman" w:hAnsi="Verdana"/>
                <w:szCs w:val="18"/>
                <w:lang w:val="mk-MK"/>
              </w:rPr>
              <w:t xml:space="preserve"> ја предупредуваат полицијата во сите земји за лица</w:t>
            </w:r>
            <w:r w:rsidR="00AF4764" w:rsidRPr="0078524C">
              <w:rPr>
                <w:rFonts w:ascii="Verdana" w:eastAsia="Times New Roman" w:hAnsi="Verdana"/>
                <w:szCs w:val="18"/>
                <w:lang w:val="mk-MK"/>
              </w:rPr>
              <w:t>та по кои се трага</w:t>
            </w:r>
            <w:r w:rsidR="00183FDB" w:rsidRPr="0078524C">
              <w:rPr>
                <w:rFonts w:ascii="Verdana" w:eastAsia="Times New Roman" w:hAnsi="Verdana"/>
                <w:szCs w:val="18"/>
                <w:lang w:val="mk-MK"/>
              </w:rPr>
              <w:t>.</w:t>
            </w:r>
          </w:p>
          <w:p w14:paraId="649FEA68" w14:textId="14B60E70" w:rsidR="0045500D" w:rsidRPr="0078524C" w:rsidRDefault="00183FDB" w:rsidP="0078524C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78524C">
              <w:rPr>
                <w:rFonts w:ascii="Verdana" w:eastAsia="Times New Roman" w:hAnsi="Verdana"/>
                <w:szCs w:val="18"/>
                <w:lang w:val="mk-MK"/>
              </w:rPr>
              <w:t>НЦБ соработув</w:t>
            </w:r>
            <w:r w:rsidR="00827150" w:rsidRPr="0078524C">
              <w:rPr>
                <w:rFonts w:ascii="Verdana" w:eastAsia="Times New Roman" w:hAnsi="Verdana"/>
                <w:szCs w:val="18"/>
                <w:lang w:val="mk-MK"/>
              </w:rPr>
              <w:t>аат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 во прекугранични истраги, операции и </w:t>
            </w:r>
            <w:r w:rsidR="00FA5017" w:rsidRPr="0078524C">
              <w:rPr>
                <w:rFonts w:ascii="Verdana" w:eastAsia="Times New Roman" w:hAnsi="Verdana"/>
                <w:szCs w:val="18"/>
                <w:lang w:val="mk-MK"/>
              </w:rPr>
              <w:t>апсења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>.</w:t>
            </w:r>
            <w:r w:rsidR="0045500D" w:rsidRPr="0078524C">
              <w:rPr>
                <w:rFonts w:ascii="Verdana" w:eastAsia="Times New Roman" w:hAnsi="Verdana"/>
                <w:szCs w:val="18"/>
              </w:rPr>
              <w:t xml:space="preserve"> 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>Со цел истрагите да ги преминат националните граници, тие можат да бараат соработка од други НЦБ.</w:t>
            </w:r>
          </w:p>
        </w:tc>
      </w:tr>
      <w:tr w:rsidR="00F1574D" w:rsidRPr="0078524C" w14:paraId="15587DD6" w14:textId="77777777" w:rsidTr="002E1D4C">
        <w:trPr>
          <w:trHeight w:val="1916"/>
        </w:trPr>
        <w:tc>
          <w:tcPr>
            <w:tcW w:w="1525" w:type="dxa"/>
            <w:vAlign w:val="center"/>
          </w:tcPr>
          <w:p w14:paraId="65C32028" w14:textId="03CACFF9" w:rsidR="00F1574D" w:rsidRPr="0078524C" w:rsidRDefault="00183FDB" w:rsidP="0078524C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16 до 18</w:t>
            </w:r>
          </w:p>
        </w:tc>
        <w:tc>
          <w:tcPr>
            <w:tcW w:w="7797" w:type="dxa"/>
            <w:gridSpan w:val="2"/>
            <w:vAlign w:val="center"/>
          </w:tcPr>
          <w:p w14:paraId="72E93026" w14:textId="0E418E00" w:rsidR="0023008E" w:rsidRPr="0078524C" w:rsidRDefault="00183FDB" w:rsidP="0078524C">
            <w:pPr>
              <w:pStyle w:val="Subtitle"/>
              <w:spacing w:before="120" w:line="260" w:lineRule="atLeast"/>
              <w:rPr>
                <w:rFonts w:ascii="Verdana" w:eastAsia="Times New Roman" w:hAnsi="Verdana"/>
              </w:rPr>
            </w:pPr>
            <w:r w:rsidRPr="0078524C">
              <w:rPr>
                <w:rFonts w:ascii="Verdana" w:eastAsia="Times New Roman" w:hAnsi="Verdana"/>
                <w:lang w:val="mk-MK"/>
              </w:rPr>
              <w:t>Овие слајдови ги објаснуваат инструментите на Европската Унија во врска со ЗПП.</w:t>
            </w:r>
            <w:r w:rsidR="0023008E" w:rsidRPr="0078524C">
              <w:rPr>
                <w:rFonts w:ascii="Verdana" w:eastAsia="MS PGothic" w:hAnsi="Verdana" w:cs="MS PGothic"/>
                <w:kern w:val="24"/>
                <w:lang w:val="en-US" w:eastAsia="en-GB"/>
              </w:rPr>
              <w:t xml:space="preserve"> </w:t>
            </w:r>
            <w:r w:rsidR="00C7792F" w:rsidRPr="0078524C">
              <w:rPr>
                <w:rFonts w:ascii="Verdana" w:eastAsia="Times New Roman" w:hAnsi="Verdana"/>
                <w:lang w:val="mk-MK"/>
              </w:rPr>
              <w:t xml:space="preserve">Конвенцијата на ЕУ од 2000 година за поттикнување и олеснување на заемната помош помеѓу судските, полициските и царинските органи за кривични </w:t>
            </w:r>
            <w:r w:rsidR="00FA5017" w:rsidRPr="0078524C">
              <w:rPr>
                <w:rFonts w:ascii="Verdana" w:eastAsia="Times New Roman" w:hAnsi="Verdana"/>
                <w:lang w:val="mk-MK"/>
              </w:rPr>
              <w:t>предмети</w:t>
            </w:r>
            <w:r w:rsidR="00C7792F" w:rsidRPr="0078524C">
              <w:rPr>
                <w:rFonts w:ascii="Verdana" w:eastAsia="Times New Roman" w:hAnsi="Verdana"/>
                <w:lang w:val="mk-MK"/>
              </w:rPr>
              <w:t xml:space="preserve"> и за подобрување на брзината и ефикасноста на судската соработка.</w:t>
            </w:r>
            <w:r w:rsidR="0023008E" w:rsidRPr="0078524C">
              <w:rPr>
                <w:rFonts w:ascii="Verdana" w:eastAsia="Times New Roman" w:hAnsi="Verdana"/>
              </w:rPr>
              <w:t xml:space="preserve"> </w:t>
            </w:r>
            <w:r w:rsidR="00827150" w:rsidRPr="0078524C">
              <w:rPr>
                <w:rFonts w:ascii="Verdana" w:eastAsia="Times New Roman" w:hAnsi="Verdana"/>
                <w:lang w:val="mk-MK"/>
              </w:rPr>
              <w:t>Истата</w:t>
            </w:r>
            <w:r w:rsidR="00C7792F" w:rsidRPr="0078524C">
              <w:rPr>
                <w:rFonts w:ascii="Verdana" w:eastAsia="Times New Roman" w:hAnsi="Verdana"/>
                <w:lang w:val="mk-MK"/>
              </w:rPr>
              <w:t xml:space="preserve"> ја надополнува Конвенцијата на Советот на Европа за заемна помош во кривични </w:t>
            </w:r>
            <w:r w:rsidR="00FA5017" w:rsidRPr="0078524C">
              <w:rPr>
                <w:rFonts w:ascii="Verdana" w:eastAsia="Times New Roman" w:hAnsi="Verdana"/>
                <w:lang w:val="mk-MK"/>
              </w:rPr>
              <w:t>предмети</w:t>
            </w:r>
            <w:r w:rsidR="00C7792F" w:rsidRPr="0078524C">
              <w:rPr>
                <w:rFonts w:ascii="Verdana" w:eastAsia="Times New Roman" w:hAnsi="Verdana"/>
                <w:lang w:val="mk-MK"/>
              </w:rPr>
              <w:t xml:space="preserve"> од 1959 година и нејзиниот Протокол од 1978 година.</w:t>
            </w:r>
          </w:p>
          <w:p w14:paraId="3B58F241" w14:textId="5B013A77" w:rsidR="00A527C5" w:rsidRPr="0078524C" w:rsidRDefault="00C7792F" w:rsidP="0078524C">
            <w:pPr>
              <w:pStyle w:val="Subtitle"/>
              <w:spacing w:beforeLines="20" w:before="48" w:afterLines="120" w:after="288" w:line="260" w:lineRule="atLeast"/>
              <w:rPr>
                <w:rFonts w:ascii="Verdana" w:eastAsia="MS PGothic" w:hAnsi="Verdana" w:cs="MS PGothic"/>
                <w:kern w:val="24"/>
                <w:szCs w:val="18"/>
                <w:lang w:eastAsia="en-GB"/>
              </w:rPr>
            </w:pP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Овие слајдови го претставуваат опсегот на работата на ЕУРОПОЛ и </w:t>
            </w:r>
            <w:r w:rsidR="00FA5017" w:rsidRPr="0078524C">
              <w:rPr>
                <w:rFonts w:ascii="Verdana" w:eastAsia="Times New Roman" w:hAnsi="Verdana"/>
                <w:szCs w:val="18"/>
                <w:lang w:val="mk-MK"/>
              </w:rPr>
              <w:t>нивниот Европски центар за сајбер-криминал (Е</w:t>
            </w:r>
            <w:r w:rsidR="00827150" w:rsidRPr="0078524C">
              <w:rPr>
                <w:rFonts w:ascii="Verdana" w:eastAsia="Times New Roman" w:hAnsi="Verdana"/>
                <w:szCs w:val="18"/>
                <w:lang w:val="en-US"/>
              </w:rPr>
              <w:t>C</w:t>
            </w:r>
            <w:r w:rsidR="00FA5017" w:rsidRPr="0078524C">
              <w:rPr>
                <w:rFonts w:ascii="Verdana" w:eastAsia="Times New Roman" w:hAnsi="Verdana"/>
                <w:szCs w:val="18"/>
                <w:lang w:val="mk-MK"/>
              </w:rPr>
              <w:t>3)</w:t>
            </w:r>
            <w:r w:rsidRPr="0078524C">
              <w:rPr>
                <w:rFonts w:ascii="Verdana" w:eastAsia="Times New Roman" w:hAnsi="Verdana"/>
                <w:szCs w:val="18"/>
                <w:lang w:val="mk-MK"/>
              </w:rPr>
              <w:t xml:space="preserve"> во врска со ова.</w:t>
            </w:r>
            <w:r w:rsidR="00A527C5" w:rsidRPr="0078524C">
              <w:rPr>
                <w:rFonts w:ascii="Verdana" w:eastAsia="MS PGothic" w:hAnsi="Verdana" w:cs="MS PGothic"/>
                <w:kern w:val="24"/>
                <w:szCs w:val="18"/>
                <w:lang w:eastAsia="en-GB"/>
              </w:rPr>
              <w:t xml:space="preserve"> </w:t>
            </w:r>
          </w:p>
          <w:p w14:paraId="09B58FC0" w14:textId="308B40CC" w:rsidR="0023008E" w:rsidRPr="0078524C" w:rsidRDefault="00C7792F" w:rsidP="0078524C">
            <w:pPr>
              <w:spacing w:beforeLines="20" w:before="48" w:afterLines="120" w:after="288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Е</w:t>
            </w:r>
            <w:r w:rsidR="00C0572B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в</w:t>
            </w:r>
            <w:r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ропол го формира</w:t>
            </w:r>
            <w:r w:rsidR="00FA5017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ш</w:t>
            </w:r>
            <w:r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е Европскиот центар за сајбер-криминал (Е</w:t>
            </w:r>
            <w:r w:rsidR="00827150" w:rsidRPr="0078524C">
              <w:rPr>
                <w:rFonts w:ascii="Verdana" w:eastAsia="Times New Roman" w:hAnsi="Verdana"/>
                <w:sz w:val="18"/>
                <w:szCs w:val="18"/>
                <w:lang w:val="en-US"/>
              </w:rPr>
              <w:t>C</w:t>
            </w:r>
            <w:r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3) во 2013 година за да ја зајакне реакцијата на спроведувањето на законот во ЕУ и на тој начин да помогне во заштитата на европските граѓани, деловни субјекти и влади од сајбер-криминал.</w:t>
            </w:r>
            <w:r w:rsidR="00A527C5" w:rsidRPr="0078524C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074B83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Од своето основање, Е</w:t>
            </w:r>
            <w:r w:rsidR="00827150" w:rsidRPr="0078524C">
              <w:rPr>
                <w:rFonts w:ascii="Verdana" w:eastAsia="Times New Roman" w:hAnsi="Verdana"/>
                <w:sz w:val="18"/>
                <w:szCs w:val="18"/>
                <w:lang w:val="en-US"/>
              </w:rPr>
              <w:t>C</w:t>
            </w:r>
            <w:r w:rsidR="00074B83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3 да</w:t>
            </w:r>
            <w:r w:rsidR="00C0572B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ва</w:t>
            </w:r>
            <w:r w:rsidR="00074B83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значителен придонес во борбата против сајбер-криминалот: </w:t>
            </w:r>
            <w:r w:rsidR="00C0572B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истиот </w:t>
            </w:r>
            <w:r w:rsidR="00074B83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беше вклучен во десетици операции од висок профил и ангажиран во стотици операции за поддршка на лице место</w:t>
            </w:r>
            <w:r w:rsidR="00FA5017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,</w:t>
            </w:r>
            <w:r w:rsidR="00074B83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што резултира</w:t>
            </w:r>
            <w:r w:rsidR="00FA5017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ш</w:t>
            </w:r>
            <w:r w:rsidR="00074B83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е со стотици апсења и анализирање </w:t>
            </w:r>
            <w:r w:rsidR="00FA5017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на </w:t>
            </w:r>
            <w:r w:rsidR="00074B83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стотици илјади датотеки, од кои мнозинството се покажаа </w:t>
            </w:r>
            <w:r w:rsidR="00827150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како штетен софтвер</w:t>
            </w:r>
            <w:r w:rsidR="00074B83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.</w:t>
            </w:r>
          </w:p>
        </w:tc>
      </w:tr>
      <w:tr w:rsidR="00F1574D" w:rsidRPr="0078524C" w14:paraId="3C4A313A" w14:textId="77777777" w:rsidTr="002E1D4C">
        <w:trPr>
          <w:trHeight w:val="6841"/>
        </w:trPr>
        <w:tc>
          <w:tcPr>
            <w:tcW w:w="1525" w:type="dxa"/>
            <w:vAlign w:val="center"/>
          </w:tcPr>
          <w:p w14:paraId="00098EC4" w14:textId="056B0792" w:rsidR="00F1574D" w:rsidRPr="0078524C" w:rsidRDefault="00074B83" w:rsidP="0078524C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19 до 22</w:t>
            </w:r>
            <w:r w:rsidR="004E4F3D" w:rsidRPr="0078524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gridSpan w:val="2"/>
            <w:vAlign w:val="center"/>
          </w:tcPr>
          <w:p w14:paraId="6E72154C" w14:textId="526516C9" w:rsidR="00A31FA0" w:rsidRPr="0078524C" w:rsidRDefault="00074B83" w:rsidP="0078524C">
            <w:pPr>
              <w:pStyle w:val="Subtitle"/>
              <w:spacing w:before="120" w:line="260" w:lineRule="atLeast"/>
              <w:rPr>
                <w:rFonts w:ascii="Verdana" w:eastAsia="Times New Roman" w:hAnsi="Verdana"/>
                <w:lang w:val="sr-Cyrl-RS"/>
              </w:rPr>
            </w:pPr>
            <w:r w:rsidRPr="0078524C">
              <w:rPr>
                <w:rFonts w:ascii="Verdana" w:eastAsia="Times New Roman" w:hAnsi="Verdana"/>
                <w:lang w:val="mk-MK"/>
              </w:rPr>
              <w:t>Овие слајдови го претставуваат оп</w:t>
            </w:r>
            <w:r w:rsidR="00143DB5" w:rsidRPr="0078524C">
              <w:rPr>
                <w:rFonts w:ascii="Verdana" w:eastAsia="Times New Roman" w:hAnsi="Verdana"/>
                <w:lang w:val="mk-MK"/>
              </w:rPr>
              <w:t>фат</w:t>
            </w:r>
            <w:r w:rsidRPr="0078524C">
              <w:rPr>
                <w:rFonts w:ascii="Verdana" w:eastAsia="Times New Roman" w:hAnsi="Verdana"/>
                <w:lang w:val="mk-MK"/>
              </w:rPr>
              <w:t>от на работа на Е</w:t>
            </w:r>
            <w:r w:rsidR="00143DB5" w:rsidRPr="0078524C">
              <w:rPr>
                <w:rFonts w:ascii="Verdana" w:eastAsia="Times New Roman" w:hAnsi="Verdana"/>
                <w:lang w:val="mk-MK"/>
              </w:rPr>
              <w:t>В</w:t>
            </w:r>
            <w:r w:rsidRPr="0078524C">
              <w:rPr>
                <w:rFonts w:ascii="Verdana" w:eastAsia="Times New Roman" w:hAnsi="Verdana"/>
                <w:lang w:val="mk-MK"/>
              </w:rPr>
              <w:t>РОЏАСТ во врска со ова.</w:t>
            </w:r>
            <w:r w:rsidR="00A31FA0" w:rsidRPr="0078524C">
              <w:rPr>
                <w:rFonts w:ascii="Verdana" w:eastAsia="MS PGothic" w:hAnsi="Verdana" w:cs="MS PGothic"/>
                <w:kern w:val="24"/>
                <w:lang w:val="sr-Cyrl-RS" w:eastAsia="en-GB"/>
              </w:rPr>
              <w:t xml:space="preserve"> </w:t>
            </w:r>
            <w:r w:rsidR="002852B9" w:rsidRPr="0078524C">
              <w:rPr>
                <w:rFonts w:ascii="Verdana" w:eastAsia="Times New Roman" w:hAnsi="Verdana"/>
                <w:lang w:val="mk-MK"/>
              </w:rPr>
              <w:t>За да се зајакне борбата против сериозниот организиран криминал, Европскиот совет, во својот Заклучок 46, се согласи дека треба да се формира единица (Е</w:t>
            </w:r>
            <w:r w:rsidR="00143DB5" w:rsidRPr="0078524C">
              <w:rPr>
                <w:rFonts w:ascii="Verdana" w:eastAsia="Times New Roman" w:hAnsi="Verdana"/>
                <w:lang w:val="mk-MK"/>
              </w:rPr>
              <w:t>в</w:t>
            </w:r>
            <w:r w:rsidR="002852B9" w:rsidRPr="0078524C">
              <w:rPr>
                <w:rFonts w:ascii="Verdana" w:eastAsia="Times New Roman" w:hAnsi="Verdana"/>
                <w:lang w:val="mk-MK"/>
              </w:rPr>
              <w:t>роџаст), составена од национални обвинители, магистрати</w:t>
            </w:r>
            <w:r w:rsidR="00FA5017" w:rsidRPr="0078524C">
              <w:rPr>
                <w:rFonts w:ascii="Verdana" w:eastAsia="Times New Roman" w:hAnsi="Verdana"/>
                <w:lang w:val="mk-MK"/>
              </w:rPr>
              <w:t xml:space="preserve"> или</w:t>
            </w:r>
            <w:r w:rsidR="002852B9" w:rsidRPr="0078524C">
              <w:rPr>
                <w:rFonts w:ascii="Verdana" w:eastAsia="Times New Roman" w:hAnsi="Verdana"/>
                <w:lang w:val="mk-MK"/>
              </w:rPr>
              <w:t xml:space="preserve"> полиц</w:t>
            </w:r>
            <w:r w:rsidR="00827150" w:rsidRPr="0078524C">
              <w:rPr>
                <w:rFonts w:ascii="Verdana" w:eastAsia="Times New Roman" w:hAnsi="Verdana"/>
                <w:lang w:val="mk-MK"/>
              </w:rPr>
              <w:t xml:space="preserve">иски службеници </w:t>
            </w:r>
            <w:r w:rsidR="002852B9" w:rsidRPr="0078524C">
              <w:rPr>
                <w:rFonts w:ascii="Verdana" w:eastAsia="Times New Roman" w:hAnsi="Verdana"/>
                <w:lang w:val="mk-MK"/>
              </w:rPr>
              <w:t xml:space="preserve">со еднаква надлежност, </w:t>
            </w:r>
            <w:r w:rsidR="002E1D4C" w:rsidRPr="0078524C">
              <w:rPr>
                <w:rFonts w:ascii="Verdana" w:eastAsia="Times New Roman" w:hAnsi="Verdana"/>
                <w:lang w:val="mk-MK"/>
              </w:rPr>
              <w:t>преземе</w:t>
            </w:r>
            <w:r w:rsidR="002852B9" w:rsidRPr="0078524C">
              <w:rPr>
                <w:rFonts w:ascii="Verdana" w:eastAsia="Times New Roman" w:hAnsi="Verdana"/>
                <w:lang w:val="mk-MK"/>
              </w:rPr>
              <w:t>ни од секоја земја-членка според нивниот соодветен правен систем.</w:t>
            </w:r>
          </w:p>
          <w:p w14:paraId="3A679AAC" w14:textId="0B03FA83" w:rsidR="00556D69" w:rsidRPr="0078524C" w:rsidRDefault="002852B9" w:rsidP="0078524C">
            <w:pPr>
              <w:pStyle w:val="Subtitle"/>
              <w:spacing w:before="120" w:line="260" w:lineRule="atLeast"/>
              <w:rPr>
                <w:rFonts w:ascii="Verdana" w:eastAsia="Times New Roman" w:hAnsi="Verdana"/>
                <w:lang w:val="sr-Cyrl-RS"/>
              </w:rPr>
            </w:pPr>
            <w:r w:rsidRPr="0078524C">
              <w:rPr>
                <w:rFonts w:ascii="Verdana" w:eastAsia="Times New Roman" w:hAnsi="Verdana"/>
                <w:lang w:val="mk-MK"/>
              </w:rPr>
              <w:t>Во јули 2013 година, Европската комисија поднесе предлог до Европскиот парламент и Советот за нова регулатива на Е</w:t>
            </w:r>
            <w:r w:rsidR="00143DB5" w:rsidRPr="0078524C">
              <w:rPr>
                <w:rFonts w:ascii="Verdana" w:eastAsia="Times New Roman" w:hAnsi="Verdana"/>
                <w:lang w:val="mk-MK"/>
              </w:rPr>
              <w:t>в</w:t>
            </w:r>
            <w:r w:rsidRPr="0078524C">
              <w:rPr>
                <w:rFonts w:ascii="Verdana" w:eastAsia="Times New Roman" w:hAnsi="Verdana"/>
                <w:lang w:val="mk-MK"/>
              </w:rPr>
              <w:t xml:space="preserve">роџаст за обезбедување на „единствена и обновена правна рамка за нова Агенција за соработка во </w:t>
            </w:r>
            <w:r w:rsidR="00FA5017" w:rsidRPr="0078524C">
              <w:rPr>
                <w:rFonts w:ascii="Verdana" w:eastAsia="Times New Roman" w:hAnsi="Verdana"/>
                <w:lang w:val="mk-MK"/>
              </w:rPr>
              <w:t>кривичната правда</w:t>
            </w:r>
            <w:r w:rsidRPr="0078524C">
              <w:rPr>
                <w:rFonts w:ascii="Verdana" w:eastAsia="Times New Roman" w:hAnsi="Verdana"/>
                <w:lang w:val="mk-MK"/>
              </w:rPr>
              <w:t xml:space="preserve"> (Е</w:t>
            </w:r>
            <w:r w:rsidR="00143DB5" w:rsidRPr="0078524C">
              <w:rPr>
                <w:rFonts w:ascii="Verdana" w:eastAsia="Times New Roman" w:hAnsi="Verdana"/>
                <w:lang w:val="mk-MK"/>
              </w:rPr>
              <w:t>в</w:t>
            </w:r>
            <w:r w:rsidRPr="0078524C">
              <w:rPr>
                <w:rFonts w:ascii="Verdana" w:eastAsia="Times New Roman" w:hAnsi="Verdana"/>
                <w:lang w:val="mk-MK"/>
              </w:rPr>
              <w:t>роџаст)“, правниот наследник на Е</w:t>
            </w:r>
            <w:r w:rsidR="00143DB5" w:rsidRPr="0078524C">
              <w:rPr>
                <w:rFonts w:ascii="Verdana" w:eastAsia="Times New Roman" w:hAnsi="Verdana"/>
                <w:lang w:val="mk-MK"/>
              </w:rPr>
              <w:t>в</w:t>
            </w:r>
            <w:r w:rsidRPr="0078524C">
              <w:rPr>
                <w:rFonts w:ascii="Verdana" w:eastAsia="Times New Roman" w:hAnsi="Verdana"/>
                <w:lang w:val="mk-MK"/>
              </w:rPr>
              <w:t>роџаст</w:t>
            </w:r>
            <w:r w:rsidR="002E1D4C" w:rsidRPr="0078524C">
              <w:rPr>
                <w:rFonts w:ascii="Verdana" w:eastAsia="Times New Roman" w:hAnsi="Verdana"/>
                <w:lang w:val="mk-MK"/>
              </w:rPr>
              <w:t>,</w:t>
            </w:r>
            <w:r w:rsidRPr="0078524C">
              <w:rPr>
                <w:rFonts w:ascii="Verdana" w:eastAsia="Times New Roman" w:hAnsi="Verdana"/>
                <w:lang w:val="mk-MK"/>
              </w:rPr>
              <w:t xml:space="preserve"> основан во 2002 година.</w:t>
            </w:r>
          </w:p>
          <w:p w14:paraId="33A59579" w14:textId="6DA39295" w:rsidR="004E4F3D" w:rsidRPr="0078524C" w:rsidRDefault="002852B9" w:rsidP="0078524C">
            <w:pPr>
              <w:spacing w:before="120" w:afterLines="120" w:after="288" w:line="260" w:lineRule="atLeast"/>
              <w:jc w:val="both"/>
              <w:rPr>
                <w:rFonts w:ascii="Verdana" w:eastAsia="Times New Roman" w:hAnsi="Verdana"/>
                <w:sz w:val="18"/>
                <w:szCs w:val="18"/>
                <w:lang w:val="sr-Cyrl-RS"/>
              </w:rPr>
            </w:pPr>
            <w:r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Европската судска мрежа за сајбер-криминал (EJCN) е основана во 2016 година, за време на холандското претседателство со ЕУ, за да се поттикнат контактите помеѓу практичарите кои специјализираат во </w:t>
            </w:r>
            <w:r w:rsidR="00143DB5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сооч</w:t>
            </w:r>
            <w:r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ување </w:t>
            </w:r>
            <w:r w:rsidR="00143DB5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со</w:t>
            </w:r>
            <w:r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предизвиците што ги пре</w:t>
            </w:r>
            <w:r w:rsidR="00143DB5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зентир</w:t>
            </w:r>
            <w:r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а сајбер-криминалот, сајбер-овозможениот криминал и истрагите во сајбер-просторот</w:t>
            </w:r>
            <w:r w:rsidR="00143DB5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, како</w:t>
            </w:r>
            <w:r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и да се зголеми ефикасноста на истрагите и </w:t>
            </w:r>
            <w:r w:rsidR="00CA612D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судското </w:t>
            </w:r>
            <w:r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гонење.</w:t>
            </w:r>
          </w:p>
          <w:p w14:paraId="09B693A1" w14:textId="0890C245" w:rsidR="004E4F3D" w:rsidRPr="0078524C" w:rsidRDefault="002852B9" w:rsidP="0078524C">
            <w:pPr>
              <w:spacing w:before="120" w:afterLines="120" w:after="288" w:line="260" w:lineRule="atLeast"/>
              <w:jc w:val="both"/>
              <w:rPr>
                <w:rFonts w:ascii="Verdana" w:hAnsi="Verdana"/>
                <w:sz w:val="18"/>
                <w:lang w:val="sr-Cyrl-RS"/>
              </w:rPr>
            </w:pPr>
            <w:r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EJCN ја олеснува и подобрува соработката помеѓу надлежните судски органи преку овозможување на размена на експертиза, најдобри практики и друго релевантно знаење во врска со истрагата и </w:t>
            </w:r>
            <w:r w:rsidR="00CA612D"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судското гонење</w:t>
            </w:r>
            <w:r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на сајбер-криминал.</w:t>
            </w:r>
            <w:r w:rsidR="004E4F3D" w:rsidRPr="0078524C">
              <w:rPr>
                <w:rFonts w:ascii="Verdana" w:eastAsia="Times New Roman" w:hAnsi="Verdana"/>
                <w:sz w:val="18"/>
                <w:szCs w:val="18"/>
                <w:lang w:val="sr-Cyrl-RS"/>
              </w:rPr>
              <w:t xml:space="preserve"> </w:t>
            </w:r>
            <w:r w:rsidRPr="0078524C">
              <w:rPr>
                <w:rFonts w:ascii="Verdana" w:eastAsia="Times New Roman" w:hAnsi="Verdana"/>
                <w:sz w:val="18"/>
                <w:szCs w:val="18"/>
                <w:lang w:val="mk-MK"/>
              </w:rPr>
              <w:t>Мрежата, исто така, поттикнува дијалог помеѓу различни актери и засегнати страни кои играат улога во обезбедувањето на владеењето на правото во сајбер-просторот.</w:t>
            </w:r>
          </w:p>
        </w:tc>
      </w:tr>
      <w:tr w:rsidR="00F1574D" w:rsidRPr="0078524C" w14:paraId="720470D6" w14:textId="77777777" w:rsidTr="002E1D4C">
        <w:trPr>
          <w:trHeight w:val="1169"/>
        </w:trPr>
        <w:tc>
          <w:tcPr>
            <w:tcW w:w="1525" w:type="dxa"/>
            <w:vAlign w:val="center"/>
          </w:tcPr>
          <w:p w14:paraId="61FD9F0D" w14:textId="34797C00" w:rsidR="00F1574D" w:rsidRPr="0078524C" w:rsidRDefault="002852B9" w:rsidP="0078524C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23 до 28</w:t>
            </w:r>
          </w:p>
        </w:tc>
        <w:tc>
          <w:tcPr>
            <w:tcW w:w="7797" w:type="dxa"/>
            <w:gridSpan w:val="2"/>
            <w:vAlign w:val="center"/>
          </w:tcPr>
          <w:p w14:paraId="40B913F5" w14:textId="5AE4BB40" w:rsidR="00A31FA0" w:rsidRPr="0078524C" w:rsidRDefault="002852B9" w:rsidP="0078524C">
            <w:pPr>
              <w:pStyle w:val="Subtitle"/>
              <w:spacing w:before="120" w:line="260" w:lineRule="atLeast"/>
              <w:rPr>
                <w:rFonts w:ascii="Verdana" w:eastAsia="MS PGothic" w:hAnsi="Verdana" w:cs="MS PGothic"/>
                <w:kern w:val="24"/>
                <w:lang w:eastAsia="en-GB"/>
              </w:rPr>
            </w:pPr>
            <w:r w:rsidRPr="0078524C">
              <w:rPr>
                <w:rFonts w:ascii="Verdana" w:hAnsi="Verdana"/>
                <w:szCs w:val="18"/>
                <w:lang w:val="mk-MK"/>
              </w:rPr>
              <w:t>Овие слајдови ја опфаќаат 24/7 мрежата за контакт точк</w:t>
            </w:r>
            <w:r w:rsidR="00432A08" w:rsidRPr="0078524C">
              <w:rPr>
                <w:rFonts w:ascii="Verdana" w:hAnsi="Verdana"/>
                <w:szCs w:val="18"/>
                <w:lang w:val="mk-MK"/>
              </w:rPr>
              <w:t>и</w:t>
            </w:r>
            <w:r w:rsidRPr="0078524C">
              <w:rPr>
                <w:rFonts w:ascii="Verdana" w:hAnsi="Verdana"/>
                <w:szCs w:val="18"/>
                <w:lang w:val="mk-MK"/>
              </w:rPr>
              <w:t xml:space="preserve"> за сајбер-криминал на Советот на Европа. </w:t>
            </w:r>
            <w:r w:rsidR="00A31FA0" w:rsidRPr="0078524C">
              <w:rPr>
                <w:rFonts w:ascii="Verdana" w:eastAsia="MS PGothic" w:hAnsi="Verdana" w:cs="MS PGothic"/>
                <w:kern w:val="24"/>
                <w:lang w:eastAsia="en-GB"/>
              </w:rPr>
              <w:t xml:space="preserve"> </w:t>
            </w:r>
          </w:p>
          <w:p w14:paraId="2E63EC97" w14:textId="59BD136C" w:rsidR="00A31FA0" w:rsidRPr="0078524C" w:rsidRDefault="00AE5CF3" w:rsidP="0078524C">
            <w:pPr>
              <w:pStyle w:val="Subtitle"/>
              <w:spacing w:before="120" w:line="260" w:lineRule="atLeast"/>
              <w:rPr>
                <w:rFonts w:ascii="Verdana" w:eastAsia="MS PGothic" w:hAnsi="Verdana" w:cs="MS PGothic"/>
                <w:kern w:val="24"/>
                <w:lang w:eastAsia="en-GB"/>
              </w:rPr>
            </w:pPr>
            <w:r w:rsidRPr="0078524C">
              <w:rPr>
                <w:rFonts w:ascii="Verdana" w:hAnsi="Verdana"/>
                <w:szCs w:val="18"/>
                <w:lang w:val="mk-MK"/>
              </w:rPr>
              <w:t>Според член 35 од Конвенцијата, секоја од страните има обврска да назначи контакт точка која е на располагање 24 часа на ден, 7 дена недел</w:t>
            </w:r>
            <w:r w:rsidR="002E1D4C" w:rsidRPr="0078524C">
              <w:rPr>
                <w:rFonts w:ascii="Verdana" w:hAnsi="Verdana"/>
                <w:szCs w:val="18"/>
                <w:lang w:val="mk-MK"/>
              </w:rPr>
              <w:t>н</w:t>
            </w:r>
            <w:r w:rsidRPr="0078524C">
              <w:rPr>
                <w:rFonts w:ascii="Verdana" w:hAnsi="Verdana"/>
                <w:szCs w:val="18"/>
                <w:lang w:val="mk-MK"/>
              </w:rPr>
              <w:t xml:space="preserve">о, со цел да се обезбеди непосредна помош во истрагите и постапките во рамките на ова </w:t>
            </w:r>
            <w:r w:rsidR="00432A08" w:rsidRPr="0078524C">
              <w:rPr>
                <w:rFonts w:ascii="Verdana" w:hAnsi="Verdana"/>
                <w:szCs w:val="18"/>
                <w:lang w:val="mk-MK"/>
              </w:rPr>
              <w:t>п</w:t>
            </w:r>
            <w:r w:rsidRPr="0078524C">
              <w:rPr>
                <w:rFonts w:ascii="Verdana" w:hAnsi="Verdana"/>
                <w:szCs w:val="18"/>
                <w:lang w:val="mk-MK"/>
              </w:rPr>
              <w:t>оглавје, особено како што е дефинирано во член 35, став 1,</w:t>
            </w:r>
            <w:r w:rsidR="002E1D4C" w:rsidRPr="0078524C">
              <w:rPr>
                <w:rFonts w:ascii="Verdana" w:hAnsi="Verdana"/>
                <w:szCs w:val="18"/>
                <w:lang w:val="mk-MK"/>
              </w:rPr>
              <w:t xml:space="preserve"> алинеја </w:t>
            </w:r>
            <w:r w:rsidRPr="0078524C">
              <w:rPr>
                <w:rFonts w:ascii="Verdana" w:hAnsi="Verdana"/>
                <w:szCs w:val="18"/>
                <w:lang w:val="mk-MK"/>
              </w:rPr>
              <w:t>a) – в).</w:t>
            </w:r>
            <w:r w:rsidR="00A31FA0" w:rsidRPr="0078524C">
              <w:rPr>
                <w:rFonts w:ascii="Verdana" w:hAnsi="Verdana"/>
                <w:szCs w:val="18"/>
              </w:rPr>
              <w:t xml:space="preserve"> </w:t>
            </w:r>
            <w:r w:rsidR="00486060" w:rsidRPr="0078524C">
              <w:rPr>
                <w:rFonts w:ascii="Verdana" w:hAnsi="Verdana"/>
                <w:szCs w:val="18"/>
                <w:lang w:val="mk-MK"/>
              </w:rPr>
              <w:t xml:space="preserve">Беше договорено дека воспоставувањето на оваа мрежа е </w:t>
            </w:r>
            <w:r w:rsidR="00432A08" w:rsidRPr="0078524C">
              <w:rPr>
                <w:rFonts w:ascii="Verdana" w:hAnsi="Verdana"/>
                <w:szCs w:val="18"/>
                <w:lang w:val="mk-MK"/>
              </w:rPr>
              <w:t>едно од</w:t>
            </w:r>
            <w:r w:rsidR="00486060" w:rsidRPr="0078524C">
              <w:rPr>
                <w:rFonts w:ascii="Verdana" w:hAnsi="Verdana"/>
                <w:szCs w:val="18"/>
                <w:lang w:val="mk-MK"/>
              </w:rPr>
              <w:t xml:space="preserve"> најважните средства предвидени со оваа </w:t>
            </w:r>
            <w:r w:rsidR="00432A08" w:rsidRPr="0078524C">
              <w:rPr>
                <w:rFonts w:ascii="Verdana" w:hAnsi="Verdana"/>
                <w:szCs w:val="18"/>
                <w:lang w:val="mk-MK"/>
              </w:rPr>
              <w:t>к</w:t>
            </w:r>
            <w:r w:rsidR="00486060" w:rsidRPr="0078524C">
              <w:rPr>
                <w:rFonts w:ascii="Verdana" w:hAnsi="Verdana"/>
                <w:szCs w:val="18"/>
                <w:lang w:val="mk-MK"/>
              </w:rPr>
              <w:t xml:space="preserve">онвенција за да се осигура дека страните можат ефективно да одговорат на предизвиците за спроведување на законот, предизвикани од </w:t>
            </w:r>
            <w:r w:rsidR="00432A08" w:rsidRPr="0078524C">
              <w:rPr>
                <w:rFonts w:ascii="Verdana" w:hAnsi="Verdana"/>
                <w:szCs w:val="18"/>
                <w:lang w:val="mk-MK"/>
              </w:rPr>
              <w:t>сајбер-</w:t>
            </w:r>
            <w:r w:rsidR="00486060" w:rsidRPr="0078524C">
              <w:rPr>
                <w:rFonts w:ascii="Verdana" w:hAnsi="Verdana"/>
                <w:szCs w:val="18"/>
                <w:lang w:val="mk-MK"/>
              </w:rPr>
              <w:t>криминал или криминал поврзан со компјутери.</w:t>
            </w:r>
            <w:r w:rsidR="00A31FA0" w:rsidRPr="0078524C">
              <w:rPr>
                <w:rFonts w:ascii="Verdana" w:eastAsia="MS PGothic" w:hAnsi="Verdana" w:cs="MS PGothic"/>
                <w:kern w:val="24"/>
                <w:lang w:eastAsia="en-GB"/>
              </w:rPr>
              <w:t xml:space="preserve"> </w:t>
            </w:r>
          </w:p>
          <w:p w14:paraId="59CB9448" w14:textId="199A3E57" w:rsidR="005F709E" w:rsidRPr="0078524C" w:rsidRDefault="00486060" w:rsidP="0078524C">
            <w:pPr>
              <w:pStyle w:val="Subtitle"/>
              <w:spacing w:before="120" w:line="260" w:lineRule="atLeast"/>
              <w:rPr>
                <w:rFonts w:ascii="Verdana" w:hAnsi="Verdana"/>
                <w:szCs w:val="18"/>
              </w:rPr>
            </w:pPr>
            <w:r w:rsidRPr="0078524C">
              <w:rPr>
                <w:rFonts w:ascii="Verdana" w:hAnsi="Verdana"/>
                <w:szCs w:val="18"/>
                <w:lang w:val="mk-MK"/>
              </w:rPr>
              <w:t xml:space="preserve">Секоја страна може слободно да одреди каде да ја лоцира точката </w:t>
            </w:r>
            <w:r w:rsidR="00432A08" w:rsidRPr="0078524C">
              <w:rPr>
                <w:rFonts w:ascii="Verdana" w:hAnsi="Verdana"/>
                <w:szCs w:val="18"/>
                <w:lang w:val="mk-MK"/>
              </w:rPr>
              <w:t>з</w:t>
            </w:r>
            <w:r w:rsidRPr="0078524C">
              <w:rPr>
                <w:rFonts w:ascii="Verdana" w:hAnsi="Verdana"/>
                <w:szCs w:val="18"/>
                <w:lang w:val="mk-MK"/>
              </w:rPr>
              <w:t xml:space="preserve">а контакт во рамки на </w:t>
            </w:r>
            <w:r w:rsidR="00432A08" w:rsidRPr="0078524C">
              <w:rPr>
                <w:rFonts w:ascii="Verdana" w:hAnsi="Verdana"/>
                <w:szCs w:val="18"/>
                <w:lang w:val="mk-MK"/>
              </w:rPr>
              <w:t>свој</w:t>
            </w:r>
            <w:r w:rsidRPr="0078524C">
              <w:rPr>
                <w:rFonts w:ascii="Verdana" w:hAnsi="Verdana"/>
                <w:szCs w:val="18"/>
                <w:lang w:val="mk-MK"/>
              </w:rPr>
              <w:t>ата структура за спроведување на законот.</w:t>
            </w:r>
            <w:r w:rsidR="00A31FA0" w:rsidRPr="0078524C">
              <w:rPr>
                <w:rFonts w:ascii="Verdana" w:hAnsi="Verdana"/>
                <w:szCs w:val="18"/>
              </w:rPr>
              <w:t xml:space="preserve"> </w:t>
            </w:r>
            <w:r w:rsidRPr="0078524C">
              <w:rPr>
                <w:rFonts w:ascii="Verdana" w:hAnsi="Verdana"/>
                <w:szCs w:val="18"/>
                <w:lang w:val="mk-MK"/>
              </w:rPr>
              <w:t>Некои страни можеби</w:t>
            </w:r>
            <w:r w:rsidR="00432A08" w:rsidRPr="0078524C">
              <w:rPr>
                <w:rFonts w:ascii="Verdana" w:hAnsi="Verdana"/>
                <w:szCs w:val="18"/>
                <w:lang w:val="mk-MK"/>
              </w:rPr>
              <w:t xml:space="preserve"> ќе</w:t>
            </w:r>
            <w:r w:rsidRPr="0078524C">
              <w:rPr>
                <w:rFonts w:ascii="Verdana" w:hAnsi="Verdana"/>
                <w:szCs w:val="18"/>
                <w:lang w:val="mk-MK"/>
              </w:rPr>
              <w:t xml:space="preserve"> сакаат да </w:t>
            </w:r>
            <w:r w:rsidR="002E1D4C" w:rsidRPr="0078524C">
              <w:rPr>
                <w:rFonts w:ascii="Verdana" w:hAnsi="Verdana"/>
                <w:szCs w:val="18"/>
                <w:lang w:val="mk-MK"/>
              </w:rPr>
              <w:t>ја</w:t>
            </w:r>
            <w:r w:rsidRPr="0078524C">
              <w:rPr>
                <w:rFonts w:ascii="Verdana" w:hAnsi="Verdana"/>
                <w:szCs w:val="18"/>
                <w:lang w:val="mk-MK"/>
              </w:rPr>
              <w:t xml:space="preserve"> сместат 24/7 контакт</w:t>
            </w:r>
            <w:r w:rsidR="002E1D4C" w:rsidRPr="0078524C">
              <w:rPr>
                <w:rFonts w:ascii="Verdana" w:hAnsi="Verdana"/>
                <w:szCs w:val="18"/>
                <w:lang w:val="mk-MK"/>
              </w:rPr>
              <w:t xml:space="preserve"> точката</w:t>
            </w:r>
            <w:r w:rsidRPr="0078524C">
              <w:rPr>
                <w:rFonts w:ascii="Verdana" w:hAnsi="Verdana"/>
                <w:szCs w:val="18"/>
                <w:lang w:val="mk-MK"/>
              </w:rPr>
              <w:t xml:space="preserve"> во рамки на нивните централни органи за заемна помош, некои мож</w:t>
            </w:r>
            <w:r w:rsidR="00CA612D" w:rsidRPr="0078524C">
              <w:rPr>
                <w:rFonts w:ascii="Verdana" w:hAnsi="Verdana"/>
                <w:szCs w:val="18"/>
                <w:lang w:val="mk-MK"/>
              </w:rPr>
              <w:t xml:space="preserve">еби </w:t>
            </w:r>
            <w:r w:rsidRPr="0078524C">
              <w:rPr>
                <w:rFonts w:ascii="Verdana" w:hAnsi="Verdana"/>
                <w:szCs w:val="18"/>
                <w:lang w:val="mk-MK"/>
              </w:rPr>
              <w:t xml:space="preserve">веруваат дека најдобрата локација е во полициска единица која специјализира </w:t>
            </w:r>
            <w:r w:rsidR="00CA612D" w:rsidRPr="0078524C">
              <w:rPr>
                <w:rFonts w:ascii="Verdana" w:hAnsi="Verdana"/>
                <w:szCs w:val="18"/>
                <w:lang w:val="mk-MK"/>
              </w:rPr>
              <w:t>во</w:t>
            </w:r>
            <w:r w:rsidRPr="0078524C">
              <w:rPr>
                <w:rFonts w:ascii="Verdana" w:hAnsi="Verdana"/>
                <w:szCs w:val="18"/>
                <w:lang w:val="mk-MK"/>
              </w:rPr>
              <w:t xml:space="preserve"> борба против </w:t>
            </w:r>
            <w:r w:rsidR="002E1D4C" w:rsidRPr="0078524C">
              <w:rPr>
                <w:rFonts w:ascii="Verdana" w:hAnsi="Verdana"/>
                <w:szCs w:val="18"/>
                <w:lang w:val="mk-MK"/>
              </w:rPr>
              <w:t>сајбер-</w:t>
            </w:r>
            <w:r w:rsidRPr="0078524C">
              <w:rPr>
                <w:rFonts w:ascii="Verdana" w:hAnsi="Verdana"/>
                <w:szCs w:val="18"/>
                <w:lang w:val="mk-MK"/>
              </w:rPr>
              <w:t>криминал или криминал поврзан со компјутери, но сепак</w:t>
            </w:r>
            <w:r w:rsidR="00432A08" w:rsidRPr="0078524C">
              <w:rPr>
                <w:rFonts w:ascii="Verdana" w:hAnsi="Verdana"/>
                <w:szCs w:val="18"/>
                <w:lang w:val="mk-MK"/>
              </w:rPr>
              <w:t xml:space="preserve"> и</w:t>
            </w:r>
            <w:r w:rsidRPr="0078524C">
              <w:rPr>
                <w:rFonts w:ascii="Verdana" w:hAnsi="Verdana"/>
                <w:szCs w:val="18"/>
                <w:lang w:val="mk-MK"/>
              </w:rPr>
              <w:t xml:space="preserve"> друг избор може да бид</w:t>
            </w:r>
            <w:r w:rsidR="00432A08" w:rsidRPr="0078524C">
              <w:rPr>
                <w:rFonts w:ascii="Verdana" w:hAnsi="Verdana"/>
                <w:szCs w:val="18"/>
                <w:lang w:val="mk-MK"/>
              </w:rPr>
              <w:t>е</w:t>
            </w:r>
            <w:r w:rsidRPr="0078524C">
              <w:rPr>
                <w:rFonts w:ascii="Verdana" w:hAnsi="Verdana"/>
                <w:szCs w:val="18"/>
                <w:lang w:val="mk-MK"/>
              </w:rPr>
              <w:t xml:space="preserve"> соодветни за одредена страна, со оглед на н</w:t>
            </w:r>
            <w:r w:rsidR="00432A08" w:rsidRPr="0078524C">
              <w:rPr>
                <w:rFonts w:ascii="Verdana" w:hAnsi="Verdana"/>
                <w:szCs w:val="18"/>
                <w:lang w:val="mk-MK"/>
              </w:rPr>
              <w:t>ејзин</w:t>
            </w:r>
            <w:r w:rsidRPr="0078524C">
              <w:rPr>
                <w:rFonts w:ascii="Verdana" w:hAnsi="Verdana"/>
                <w:szCs w:val="18"/>
                <w:lang w:val="mk-MK"/>
              </w:rPr>
              <w:t>ата владина структура и правен систем.</w:t>
            </w:r>
            <w:r w:rsidR="00A31FA0" w:rsidRPr="0078524C">
              <w:rPr>
                <w:rFonts w:ascii="Verdana" w:hAnsi="Verdana"/>
                <w:szCs w:val="18"/>
              </w:rPr>
              <w:t xml:space="preserve"> </w:t>
            </w:r>
          </w:p>
        </w:tc>
      </w:tr>
      <w:tr w:rsidR="00F1574D" w:rsidRPr="0078524C" w14:paraId="0A65AD6F" w14:textId="77777777" w:rsidTr="002E1D4C">
        <w:trPr>
          <w:trHeight w:val="462"/>
        </w:trPr>
        <w:tc>
          <w:tcPr>
            <w:tcW w:w="1525" w:type="dxa"/>
            <w:vAlign w:val="center"/>
          </w:tcPr>
          <w:p w14:paraId="55312634" w14:textId="585B5836" w:rsidR="00F1574D" w:rsidRPr="0078524C" w:rsidRDefault="00486060" w:rsidP="0078524C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29 до 36</w:t>
            </w:r>
          </w:p>
        </w:tc>
        <w:tc>
          <w:tcPr>
            <w:tcW w:w="7797" w:type="dxa"/>
            <w:gridSpan w:val="2"/>
            <w:vAlign w:val="center"/>
          </w:tcPr>
          <w:p w14:paraId="59937E6B" w14:textId="12395380" w:rsidR="00A31FA0" w:rsidRPr="0078524C" w:rsidRDefault="00486060" w:rsidP="0078524C">
            <w:pPr>
              <w:spacing w:before="120" w:after="120" w:line="260" w:lineRule="atLeast"/>
              <w:rPr>
                <w:rFonts w:ascii="Verdana" w:eastAsia="MS PGothic" w:hAnsi="Verdana" w:cs="MS PGothic"/>
                <w:kern w:val="24"/>
                <w:sz w:val="18"/>
                <w:szCs w:val="18"/>
                <w:lang w:eastAsia="en-GB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Овие слајдови ги претставуваат напорите за градење капацитети во рамките на проектите на Советот на Европа кои се специфично насочени кон подобрување на меѓународната соработка.</w:t>
            </w:r>
            <w:r w:rsidR="00CF4397" w:rsidRPr="0078524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30449"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Наодите од регионалните извештаи произведени од проектите за </w:t>
            </w:r>
            <w:r w:rsidR="002E1D4C" w:rsidRPr="0078524C">
              <w:rPr>
                <w:rFonts w:ascii="Verdana" w:hAnsi="Verdana"/>
                <w:sz w:val="18"/>
                <w:szCs w:val="18"/>
                <w:lang w:val="mk-MK"/>
              </w:rPr>
              <w:t>Cybercrime@EaP</w:t>
            </w:r>
            <w:r w:rsidR="00A30449"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 може да се користат како извор за дискутирање на попрактични и пореални пристапи за подобрување на соработката.</w:t>
            </w:r>
          </w:p>
        </w:tc>
      </w:tr>
      <w:tr w:rsidR="005F709E" w:rsidRPr="0078524C" w14:paraId="1918B48F" w14:textId="77777777" w:rsidTr="002E1D4C">
        <w:trPr>
          <w:trHeight w:val="1313"/>
        </w:trPr>
        <w:tc>
          <w:tcPr>
            <w:tcW w:w="1525" w:type="dxa"/>
            <w:vAlign w:val="center"/>
          </w:tcPr>
          <w:p w14:paraId="224BC13F" w14:textId="097E865B" w:rsidR="005F709E" w:rsidRPr="0078524C" w:rsidRDefault="00A30449" w:rsidP="0078524C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37 до 39</w:t>
            </w:r>
          </w:p>
        </w:tc>
        <w:tc>
          <w:tcPr>
            <w:tcW w:w="7797" w:type="dxa"/>
            <w:gridSpan w:val="2"/>
            <w:vAlign w:val="center"/>
          </w:tcPr>
          <w:p w14:paraId="2E2377DE" w14:textId="762123EB" w:rsidR="005F709E" w:rsidRPr="0078524C" w:rsidRDefault="00A30449" w:rsidP="0078524C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Завршните слајдови му овозможуваат на обучувачот да ги разгледа целите на учење со публиката за да се осигура дека </w:t>
            </w:r>
            <w:r w:rsidR="00CA612D"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истите 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се постигнати.</w:t>
            </w:r>
            <w:r w:rsidR="005F709E" w:rsidRPr="0078524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Исто така, тоа е можност за </w:t>
            </w:r>
            <w:r w:rsidR="00D218DC" w:rsidRPr="0078524C">
              <w:rPr>
                <w:rFonts w:ascii="Verdana" w:hAnsi="Verdana"/>
                <w:sz w:val="18"/>
                <w:szCs w:val="18"/>
                <w:lang w:val="mk-MK"/>
              </w:rPr>
              <w:t>претставници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те да по</w:t>
            </w:r>
            <w:r w:rsidR="00864CC2" w:rsidRPr="0078524C">
              <w:rPr>
                <w:rFonts w:ascii="Verdana" w:hAnsi="Verdana"/>
                <w:sz w:val="18"/>
                <w:szCs w:val="18"/>
                <w:lang w:val="mk-MK"/>
              </w:rPr>
              <w:t>става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т какви било прашања што </w:t>
            </w:r>
            <w:r w:rsidR="00DC36B7"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се 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мож</w:t>
            </w:r>
            <w:r w:rsidR="009C2DB1"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еби 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нер</w:t>
            </w:r>
            <w:r w:rsidR="000A6A6D" w:rsidRPr="0078524C">
              <w:rPr>
                <w:rFonts w:ascii="Verdana" w:hAnsi="Verdana"/>
                <w:sz w:val="18"/>
                <w:szCs w:val="18"/>
                <w:lang w:val="mk-MK"/>
              </w:rPr>
              <w:t>ешен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и или </w:t>
            </w:r>
            <w:r w:rsidR="00DC36B7"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за </w:t>
            </w:r>
            <w:r w:rsidR="00CA612D" w:rsidRPr="0078524C">
              <w:rPr>
                <w:rFonts w:ascii="Verdana" w:hAnsi="Verdana"/>
                <w:sz w:val="18"/>
                <w:szCs w:val="18"/>
                <w:lang w:val="mk-MK"/>
              </w:rPr>
              <w:t>оние презентирани теми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 што </w:t>
            </w:r>
            <w:r w:rsidR="00CA612D" w:rsidRPr="0078524C">
              <w:rPr>
                <w:rFonts w:ascii="Verdana" w:hAnsi="Verdana"/>
                <w:sz w:val="18"/>
                <w:szCs w:val="18"/>
                <w:lang w:val="mk-MK"/>
              </w:rPr>
              <w:t xml:space="preserve">не ги разбрале 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целосно.</w:t>
            </w:r>
            <w:r w:rsidR="005F709E" w:rsidRPr="0078524C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4F4159A3" w14:textId="1F303359" w:rsidR="005F709E" w:rsidRPr="0078524C" w:rsidRDefault="00A30449" w:rsidP="0078524C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Покрај тоа, обучувачот може да ја искористи сесијата за да го провери наученото знаење со поставување прашања на учесниците.</w:t>
            </w:r>
            <w:r w:rsidR="005F709E" w:rsidRPr="0078524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8524C">
              <w:rPr>
                <w:rFonts w:ascii="Verdana" w:hAnsi="Verdana"/>
                <w:sz w:val="18"/>
                <w:szCs w:val="18"/>
                <w:lang w:val="mk-MK"/>
              </w:rPr>
              <w:t>Ова е важно, бидејќи нема формално оценување на курсот.</w:t>
            </w:r>
          </w:p>
        </w:tc>
      </w:tr>
      <w:tr w:rsidR="00CB3026" w:rsidRPr="0078524C" w14:paraId="2ECF09B7" w14:textId="77777777" w:rsidTr="002E1D4C">
        <w:trPr>
          <w:trHeight w:val="890"/>
        </w:trPr>
        <w:tc>
          <w:tcPr>
            <w:tcW w:w="9322" w:type="dxa"/>
            <w:gridSpan w:val="3"/>
            <w:vAlign w:val="center"/>
          </w:tcPr>
          <w:p w14:paraId="55ED1F4B" w14:textId="172E9AB3" w:rsidR="00CB3026" w:rsidRPr="0078524C" w:rsidRDefault="00A30449" w:rsidP="0078524C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78524C">
              <w:rPr>
                <w:rFonts w:ascii="Verdana" w:hAnsi="Verdana"/>
                <w:b/>
                <w:sz w:val="22"/>
                <w:szCs w:val="22"/>
                <w:lang w:val="mk-MK"/>
              </w:rPr>
              <w:t>Практични вежби</w:t>
            </w:r>
          </w:p>
          <w:p w14:paraId="04D65D89" w14:textId="71F195CC" w:rsidR="00CB3026" w:rsidRPr="0078524C" w:rsidRDefault="00A30449" w:rsidP="0078524C">
            <w:pPr>
              <w:spacing w:before="120" w:after="120" w:line="260" w:lineRule="atLeas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8524C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Не се предвидени практични вежби за оваа лекција.</w:t>
            </w:r>
          </w:p>
        </w:tc>
      </w:tr>
      <w:tr w:rsidR="00CB3026" w:rsidRPr="0078524C" w14:paraId="603967A2" w14:textId="77777777" w:rsidTr="002E1D4C">
        <w:tc>
          <w:tcPr>
            <w:tcW w:w="9322" w:type="dxa"/>
            <w:gridSpan w:val="3"/>
            <w:vAlign w:val="center"/>
          </w:tcPr>
          <w:p w14:paraId="57B48D1E" w14:textId="5C0CABF8" w:rsidR="00CB3026" w:rsidRPr="0078524C" w:rsidRDefault="00A30449" w:rsidP="0078524C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78524C">
              <w:rPr>
                <w:rFonts w:ascii="Verdana" w:hAnsi="Verdana"/>
                <w:b/>
                <w:sz w:val="22"/>
                <w:szCs w:val="22"/>
                <w:lang w:val="mk-MK"/>
              </w:rPr>
              <w:t>Проценка/Проверување на знаење</w:t>
            </w:r>
          </w:p>
          <w:p w14:paraId="4496975B" w14:textId="6D2E227B" w:rsidR="00CB3026" w:rsidRPr="0078524C" w:rsidRDefault="00A30449" w:rsidP="0078524C">
            <w:pPr>
              <w:spacing w:before="120" w:after="120" w:line="260" w:lineRule="atLeas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8524C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За оваа сесија не е потребна проверка или проценка на знаењето.</w:t>
            </w:r>
          </w:p>
        </w:tc>
      </w:tr>
    </w:tbl>
    <w:p w14:paraId="15498912" w14:textId="77777777" w:rsidR="00D82C18" w:rsidRPr="0078524C" w:rsidRDefault="00D82C18" w:rsidP="0078524C">
      <w:pPr>
        <w:spacing w:before="120" w:after="120" w:line="260" w:lineRule="atLeast"/>
        <w:rPr>
          <w:rFonts w:ascii="Verdana" w:hAnsi="Verdana"/>
        </w:rPr>
      </w:pPr>
    </w:p>
    <w:sectPr w:rsidR="00D82C18" w:rsidRPr="0078524C" w:rsidSect="00F157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83" w:right="1440" w:bottom="119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09541" w14:textId="77777777" w:rsidR="00362080" w:rsidRDefault="00362080" w:rsidP="0081583A">
      <w:r>
        <w:separator/>
      </w:r>
    </w:p>
  </w:endnote>
  <w:endnote w:type="continuationSeparator" w:id="0">
    <w:p w14:paraId="22F94E16" w14:textId="77777777" w:rsidR="00362080" w:rsidRDefault="00362080" w:rsidP="0081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Bold">
    <w:altName w:val="Times New Roman"/>
    <w:panose1 w:val="020B0804030504040204"/>
    <w:charset w:val="00"/>
    <w:family w:val="auto"/>
    <w:pitch w:val="variable"/>
    <w:sig w:usb0="00000001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E07E4" w14:textId="77777777" w:rsidR="0081583A" w:rsidRDefault="008158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82DD9" w14:textId="77777777" w:rsidR="0081583A" w:rsidRDefault="008158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33EDC" w14:textId="77777777" w:rsidR="0081583A" w:rsidRDefault="00815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1A8BA" w14:textId="77777777" w:rsidR="00362080" w:rsidRDefault="00362080" w:rsidP="0081583A">
      <w:r>
        <w:separator/>
      </w:r>
    </w:p>
  </w:footnote>
  <w:footnote w:type="continuationSeparator" w:id="0">
    <w:p w14:paraId="7A08B72C" w14:textId="77777777" w:rsidR="00362080" w:rsidRDefault="00362080" w:rsidP="0081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1B076" w14:textId="77777777" w:rsidR="0081583A" w:rsidRDefault="008158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53FB0" w14:textId="77777777" w:rsidR="0081583A" w:rsidRDefault="008158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5B3BF" w14:textId="77777777" w:rsidR="0081583A" w:rsidRDefault="00815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86C5820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" w15:restartNumberingAfterBreak="0">
    <w:nsid w:val="0A701041"/>
    <w:multiLevelType w:val="hybridMultilevel"/>
    <w:tmpl w:val="74B491D4"/>
    <w:lvl w:ilvl="0" w:tplc="13CE29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ABC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32214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F2B6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6AE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3E00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E06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A45D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C35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2030"/>
    <w:multiLevelType w:val="hybridMultilevel"/>
    <w:tmpl w:val="2ABAA646"/>
    <w:lvl w:ilvl="0" w:tplc="76E0E7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CE9B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E8243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0E2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4E2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62F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839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8A6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1255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75E0"/>
    <w:multiLevelType w:val="hybridMultilevel"/>
    <w:tmpl w:val="BA6E84EA"/>
    <w:lvl w:ilvl="0" w:tplc="676AC7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6A17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AF5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02E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D4C7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211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494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CCD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5ABE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E10C7"/>
    <w:multiLevelType w:val="hybridMultilevel"/>
    <w:tmpl w:val="AADA1F4A"/>
    <w:lvl w:ilvl="0" w:tplc="BB2063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E09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3CF7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0C5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AF9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A070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AED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8A85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290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C56D6"/>
    <w:multiLevelType w:val="hybridMultilevel"/>
    <w:tmpl w:val="1070EADA"/>
    <w:lvl w:ilvl="0" w:tplc="6E0E98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E31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6651D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F877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162D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7027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A62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46F1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02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A3C0F"/>
    <w:multiLevelType w:val="hybridMultilevel"/>
    <w:tmpl w:val="91E0D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910DB"/>
    <w:multiLevelType w:val="hybridMultilevel"/>
    <w:tmpl w:val="0F2A1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EA365F"/>
    <w:multiLevelType w:val="hybridMultilevel"/>
    <w:tmpl w:val="197021C0"/>
    <w:lvl w:ilvl="0" w:tplc="1396E6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878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8A4D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E65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228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462F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2FD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099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C49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C02A6"/>
    <w:multiLevelType w:val="hybridMultilevel"/>
    <w:tmpl w:val="8B0AA106"/>
    <w:lvl w:ilvl="0" w:tplc="E69EE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D46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CE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F4E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CEF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4E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4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C9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4C2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D4895"/>
    <w:multiLevelType w:val="hybridMultilevel"/>
    <w:tmpl w:val="8F70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22377"/>
    <w:multiLevelType w:val="hybridMultilevel"/>
    <w:tmpl w:val="85B03316"/>
    <w:lvl w:ilvl="0" w:tplc="44DE59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58BD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3C69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EAF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E09A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289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4A52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7CC2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4C9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53E50"/>
    <w:multiLevelType w:val="multilevel"/>
    <w:tmpl w:val="99E2FB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E864AE1"/>
    <w:multiLevelType w:val="hybridMultilevel"/>
    <w:tmpl w:val="E2F8E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11B58"/>
    <w:multiLevelType w:val="hybridMultilevel"/>
    <w:tmpl w:val="46AC9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237C8"/>
    <w:multiLevelType w:val="hybridMultilevel"/>
    <w:tmpl w:val="5B4A8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11"/>
  </w:num>
  <w:num w:numId="6">
    <w:abstractNumId w:val="22"/>
  </w:num>
  <w:num w:numId="7">
    <w:abstractNumId w:val="6"/>
  </w:num>
  <w:num w:numId="8">
    <w:abstractNumId w:val="0"/>
    <w:lvlOverride w:ilvl="0">
      <w:lvl w:ilvl="0">
        <w:start w:val="1"/>
        <w:numFmt w:val="bullet"/>
        <w:pStyle w:val="listbullet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</w:rPr>
      </w:lvl>
    </w:lvlOverride>
  </w:num>
  <w:num w:numId="9">
    <w:abstractNumId w:val="18"/>
  </w:num>
  <w:num w:numId="10">
    <w:abstractNumId w:val="3"/>
  </w:num>
  <w:num w:numId="11">
    <w:abstractNumId w:val="13"/>
  </w:num>
  <w:num w:numId="12">
    <w:abstractNumId w:val="17"/>
  </w:num>
  <w:num w:numId="13">
    <w:abstractNumId w:val="4"/>
  </w:num>
  <w:num w:numId="14">
    <w:abstractNumId w:val="8"/>
  </w:num>
  <w:num w:numId="15">
    <w:abstractNumId w:val="16"/>
  </w:num>
  <w:num w:numId="16">
    <w:abstractNumId w:val="1"/>
  </w:num>
  <w:num w:numId="17">
    <w:abstractNumId w:val="2"/>
  </w:num>
  <w:num w:numId="18">
    <w:abstractNumId w:val="19"/>
  </w:num>
  <w:num w:numId="19">
    <w:abstractNumId w:val="14"/>
  </w:num>
  <w:num w:numId="20">
    <w:abstractNumId w:val="5"/>
  </w:num>
  <w:num w:numId="21">
    <w:abstractNumId w:val="7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C18"/>
    <w:rsid w:val="00006EAD"/>
    <w:rsid w:val="00017536"/>
    <w:rsid w:val="00074B83"/>
    <w:rsid w:val="000A6A6D"/>
    <w:rsid w:val="000C40EE"/>
    <w:rsid w:val="000F7896"/>
    <w:rsid w:val="00143DB5"/>
    <w:rsid w:val="00151E6A"/>
    <w:rsid w:val="00183FDB"/>
    <w:rsid w:val="001C734F"/>
    <w:rsid w:val="001D603D"/>
    <w:rsid w:val="0023008E"/>
    <w:rsid w:val="00260809"/>
    <w:rsid w:val="00264EF8"/>
    <w:rsid w:val="00271010"/>
    <w:rsid w:val="002852B9"/>
    <w:rsid w:val="002E03B9"/>
    <w:rsid w:val="002E1D4C"/>
    <w:rsid w:val="002E3ECE"/>
    <w:rsid w:val="002F3B54"/>
    <w:rsid w:val="0034224C"/>
    <w:rsid w:val="00342639"/>
    <w:rsid w:val="003453F7"/>
    <w:rsid w:val="00362080"/>
    <w:rsid w:val="003630ED"/>
    <w:rsid w:val="003A435F"/>
    <w:rsid w:val="003B34C4"/>
    <w:rsid w:val="003F6587"/>
    <w:rsid w:val="00432A08"/>
    <w:rsid w:val="00450007"/>
    <w:rsid w:val="0045500D"/>
    <w:rsid w:val="00457DD3"/>
    <w:rsid w:val="00486060"/>
    <w:rsid w:val="004922D6"/>
    <w:rsid w:val="004B7351"/>
    <w:rsid w:val="004D35F1"/>
    <w:rsid w:val="004E4F3D"/>
    <w:rsid w:val="00500790"/>
    <w:rsid w:val="00556D69"/>
    <w:rsid w:val="005703B7"/>
    <w:rsid w:val="005A4E47"/>
    <w:rsid w:val="005D4432"/>
    <w:rsid w:val="005D7794"/>
    <w:rsid w:val="005F709E"/>
    <w:rsid w:val="006527C6"/>
    <w:rsid w:val="006734C0"/>
    <w:rsid w:val="006943A3"/>
    <w:rsid w:val="006B6FDF"/>
    <w:rsid w:val="00705CEF"/>
    <w:rsid w:val="0075334E"/>
    <w:rsid w:val="007678A6"/>
    <w:rsid w:val="00773F6C"/>
    <w:rsid w:val="0078524C"/>
    <w:rsid w:val="0080315D"/>
    <w:rsid w:val="008147B2"/>
    <w:rsid w:val="0081583A"/>
    <w:rsid w:val="00827150"/>
    <w:rsid w:val="00844FBF"/>
    <w:rsid w:val="00864CC2"/>
    <w:rsid w:val="008817F1"/>
    <w:rsid w:val="008A4C93"/>
    <w:rsid w:val="008E3FE7"/>
    <w:rsid w:val="00951791"/>
    <w:rsid w:val="009C2DB1"/>
    <w:rsid w:val="009D1DB1"/>
    <w:rsid w:val="009F336B"/>
    <w:rsid w:val="00A03CF0"/>
    <w:rsid w:val="00A30449"/>
    <w:rsid w:val="00A31FA0"/>
    <w:rsid w:val="00A342ED"/>
    <w:rsid w:val="00A4110D"/>
    <w:rsid w:val="00A527C5"/>
    <w:rsid w:val="00A60446"/>
    <w:rsid w:val="00A734A5"/>
    <w:rsid w:val="00A76996"/>
    <w:rsid w:val="00AA5742"/>
    <w:rsid w:val="00AB07AA"/>
    <w:rsid w:val="00AE5CF3"/>
    <w:rsid w:val="00AF4764"/>
    <w:rsid w:val="00B3608C"/>
    <w:rsid w:val="00B37349"/>
    <w:rsid w:val="00B40FCA"/>
    <w:rsid w:val="00B56791"/>
    <w:rsid w:val="00BD098C"/>
    <w:rsid w:val="00BD7897"/>
    <w:rsid w:val="00C0572B"/>
    <w:rsid w:val="00C115FC"/>
    <w:rsid w:val="00C541A2"/>
    <w:rsid w:val="00C7792F"/>
    <w:rsid w:val="00CA612D"/>
    <w:rsid w:val="00CB02C4"/>
    <w:rsid w:val="00CB3026"/>
    <w:rsid w:val="00CB3AA4"/>
    <w:rsid w:val="00CC1F79"/>
    <w:rsid w:val="00CC2222"/>
    <w:rsid w:val="00CC59B3"/>
    <w:rsid w:val="00CF4397"/>
    <w:rsid w:val="00D218DC"/>
    <w:rsid w:val="00D528DE"/>
    <w:rsid w:val="00D62E5F"/>
    <w:rsid w:val="00D82C18"/>
    <w:rsid w:val="00DC36B7"/>
    <w:rsid w:val="00E13BE7"/>
    <w:rsid w:val="00E7344B"/>
    <w:rsid w:val="00E95703"/>
    <w:rsid w:val="00EE1E16"/>
    <w:rsid w:val="00F1338F"/>
    <w:rsid w:val="00F1574D"/>
    <w:rsid w:val="00F504D6"/>
    <w:rsid w:val="00F62A15"/>
    <w:rsid w:val="00F824B2"/>
    <w:rsid w:val="00F955B5"/>
    <w:rsid w:val="00FA5017"/>
    <w:rsid w:val="00FB6DE5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CF78"/>
  <w14:defaultImageDpi w14:val="330"/>
  <w15:docId w15:val="{3B29B350-01AC-49EB-9C94-549F8938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3453F7"/>
    <w:pPr>
      <w:keepNext/>
      <w:keepLines/>
      <w:numPr>
        <w:numId w:val="9"/>
      </w:numPr>
      <w:spacing w:before="120" w:after="240" w:line="260" w:lineRule="atLeast"/>
      <w:ind w:right="-79"/>
      <w:jc w:val="both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F7"/>
    <w:pPr>
      <w:keepNext/>
      <w:keepLines/>
      <w:numPr>
        <w:ilvl w:val="1"/>
        <w:numId w:val="9"/>
      </w:numPr>
      <w:spacing w:before="120" w:after="240" w:line="280" w:lineRule="atLeast"/>
      <w:ind w:right="-79"/>
      <w:jc w:val="both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F7"/>
    <w:pPr>
      <w:keepNext/>
      <w:keepLines/>
      <w:numPr>
        <w:ilvl w:val="2"/>
        <w:numId w:val="9"/>
      </w:numPr>
      <w:spacing w:before="120" w:after="240" w:line="280" w:lineRule="atLeast"/>
      <w:ind w:left="851" w:right="-79" w:hanging="851"/>
      <w:jc w:val="both"/>
      <w:outlineLvl w:val="2"/>
    </w:pPr>
    <w:rPr>
      <w:rFonts w:ascii="Verdana" w:eastAsiaTheme="majorEastAsia" w:hAnsi="Verdana" w:cstheme="majorBidi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3F7"/>
    <w:pPr>
      <w:keepNext/>
      <w:keepLines/>
      <w:numPr>
        <w:ilvl w:val="3"/>
        <w:numId w:val="9"/>
      </w:numPr>
      <w:spacing w:before="120" w:after="120" w:line="280" w:lineRule="atLeast"/>
      <w:ind w:right="-79"/>
      <w:jc w:val="both"/>
      <w:outlineLvl w:val="3"/>
    </w:pPr>
    <w:rPr>
      <w:rFonts w:ascii="Verdana" w:eastAsiaTheme="majorEastAsia" w:hAnsi="Verdana" w:cstheme="majorBidi"/>
      <w:b/>
      <w:bCs/>
      <w:iCs/>
      <w:sz w:val="1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3F7"/>
    <w:pPr>
      <w:keepNext/>
      <w:keepLines/>
      <w:numPr>
        <w:ilvl w:val="4"/>
        <w:numId w:val="9"/>
      </w:numPr>
      <w:spacing w:before="200" w:line="280" w:lineRule="atLeast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3F7"/>
    <w:pPr>
      <w:keepNext/>
      <w:keepLines/>
      <w:numPr>
        <w:ilvl w:val="5"/>
        <w:numId w:val="9"/>
      </w:numPr>
      <w:spacing w:before="200" w:line="28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53F7"/>
    <w:pPr>
      <w:keepNext/>
      <w:keepLines/>
      <w:numPr>
        <w:ilvl w:val="6"/>
        <w:numId w:val="9"/>
      </w:numPr>
      <w:spacing w:before="200" w:line="28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3F7"/>
    <w:pPr>
      <w:keepNext/>
      <w:keepLines/>
      <w:numPr>
        <w:ilvl w:val="7"/>
        <w:numId w:val="9"/>
      </w:numPr>
      <w:spacing w:before="200" w:line="28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53F7"/>
    <w:pPr>
      <w:keepNext/>
      <w:keepLines/>
      <w:numPr>
        <w:ilvl w:val="8"/>
        <w:numId w:val="9"/>
      </w:numPr>
      <w:spacing w:before="200" w:line="28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de-DE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53F7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3F7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F7"/>
    <w:rPr>
      <w:rFonts w:ascii="Verdana" w:eastAsiaTheme="majorEastAsia" w:hAnsi="Verdana" w:cstheme="majorBidi"/>
      <w:b/>
      <w:bCs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53F7"/>
    <w:rPr>
      <w:rFonts w:ascii="Verdana" w:eastAsiaTheme="majorEastAsia" w:hAnsi="Verdana" w:cstheme="majorBidi"/>
      <w:b/>
      <w:bCs/>
      <w:iCs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53F7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53F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53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bullet">
    <w:name w:val="listbullet"/>
    <w:basedOn w:val="Normal"/>
    <w:rsid w:val="003453F7"/>
    <w:pPr>
      <w:numPr>
        <w:numId w:val="8"/>
      </w:numPr>
      <w:tabs>
        <w:tab w:val="left" w:pos="567"/>
      </w:tabs>
      <w:spacing w:line="280" w:lineRule="atLeast"/>
      <w:jc w:val="both"/>
    </w:pPr>
    <w:rPr>
      <w:rFonts w:ascii="Book Antiqua" w:eastAsia="Calibri" w:hAnsi="Book Antiqua" w:cs="Times New Roman"/>
      <w:sz w:val="19"/>
      <w:szCs w:val="20"/>
    </w:rPr>
  </w:style>
  <w:style w:type="paragraph" w:styleId="NormalWeb">
    <w:name w:val="Normal (Web)"/>
    <w:basedOn w:val="Normal"/>
    <w:uiPriority w:val="99"/>
    <w:semiHidden/>
    <w:unhideWhenUsed/>
    <w:rsid w:val="00556D6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5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83A"/>
  </w:style>
  <w:style w:type="paragraph" w:styleId="Footer">
    <w:name w:val="footer"/>
    <w:basedOn w:val="Normal"/>
    <w:link w:val="FooterChar"/>
    <w:uiPriority w:val="99"/>
    <w:unhideWhenUsed/>
    <w:rsid w:val="00815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2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5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4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1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0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4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Nigel (nigel.jones@canterbury.ac.uk)</dc:creator>
  <cp:keywords/>
  <dc:description/>
  <cp:lastModifiedBy>CEAUSU Diana</cp:lastModifiedBy>
  <cp:revision>42</cp:revision>
  <dcterms:created xsi:type="dcterms:W3CDTF">2020-09-09T15:21:00Z</dcterms:created>
  <dcterms:modified xsi:type="dcterms:W3CDTF">2021-05-10T08:20:00Z</dcterms:modified>
</cp:coreProperties>
</file>