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6EF4B796" w:rsidR="00D82C18" w:rsidRPr="005D7CB8" w:rsidRDefault="0000256C" w:rsidP="005D7CB8">
      <w:pPr>
        <w:spacing w:before="120" w:after="120" w:line="260" w:lineRule="atLeast"/>
        <w:rPr>
          <w:rFonts w:ascii="Verdana" w:hAnsi="Verdana"/>
          <w:sz w:val="28"/>
        </w:rPr>
      </w:pPr>
      <w:r w:rsidRPr="005D7CB8">
        <w:rPr>
          <w:rFonts w:ascii="Verdana" w:hAnsi="Verdana"/>
          <w:b/>
          <w:bCs/>
          <w:sz w:val="28"/>
          <w:szCs w:val="28"/>
          <w:lang w:val="mk-MK"/>
        </w:rPr>
        <w:t>Лекција 3.1 Јавно-приватни партнерства и соработка</w:t>
      </w:r>
    </w:p>
    <w:p w14:paraId="1D0E3DC5" w14:textId="5CDDAB4C" w:rsidR="00C115FC" w:rsidRPr="005D7CB8" w:rsidRDefault="00C115FC" w:rsidP="005D7CB8">
      <w:pPr>
        <w:spacing w:before="120" w:after="120" w:line="260" w:lineRule="atLeast"/>
        <w:ind w:left="360"/>
        <w:rPr>
          <w:rFonts w:ascii="Verdana" w:hAnsi="Verdana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672"/>
        <w:gridCol w:w="5320"/>
        <w:gridCol w:w="2165"/>
      </w:tblGrid>
      <w:tr w:rsidR="00C115FC" w:rsidRPr="005D7CB8" w14:paraId="58A3485E" w14:textId="77777777" w:rsidTr="0073783C">
        <w:trPr>
          <w:trHeight w:val="872"/>
        </w:trPr>
        <w:tc>
          <w:tcPr>
            <w:tcW w:w="6992" w:type="dxa"/>
            <w:gridSpan w:val="2"/>
            <w:shd w:val="clear" w:color="auto" w:fill="DEEAF6" w:themeFill="accent5" w:themeFillTint="33"/>
            <w:vAlign w:val="center"/>
          </w:tcPr>
          <w:p w14:paraId="0067FF35" w14:textId="2DFFB76B" w:rsidR="00D82C18" w:rsidRPr="005D7CB8" w:rsidRDefault="0000256C" w:rsidP="005D7CB8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  <w:lang w:val="mk-MK"/>
              </w:rPr>
            </w:pPr>
            <w:r w:rsidRPr="005D7CB8">
              <w:rPr>
                <w:rFonts w:ascii="Verdana" w:hAnsi="Verdana"/>
                <w:sz w:val="22"/>
                <w:szCs w:val="22"/>
                <w:lang w:val="mk-MK"/>
              </w:rPr>
              <w:t>Лекција 3.1 Јавно-приватни партнерства и соработка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08371BC0" w:rsidR="00D82C18" w:rsidRPr="005D7CB8" w:rsidRDefault="00B06BBA" w:rsidP="005D7CB8">
            <w:pPr>
              <w:pStyle w:val="bul1"/>
              <w:numPr>
                <w:ilvl w:val="0"/>
                <w:numId w:val="0"/>
              </w:numPr>
              <w:spacing w:before="120" w:after="120" w:line="260" w:lineRule="atLeast"/>
              <w:rPr>
                <w:sz w:val="22"/>
                <w:szCs w:val="22"/>
              </w:rPr>
            </w:pPr>
            <w:r w:rsidRPr="005D7CB8">
              <w:rPr>
                <w:sz w:val="22"/>
                <w:szCs w:val="22"/>
                <w:lang w:val="mk-MK"/>
              </w:rPr>
              <w:t>Времетраење: 90 минути</w:t>
            </w:r>
          </w:p>
        </w:tc>
      </w:tr>
      <w:tr w:rsidR="00B06BBA" w:rsidRPr="005D7CB8" w14:paraId="0EBF6542" w14:textId="77777777" w:rsidTr="0073783C">
        <w:trPr>
          <w:trHeight w:val="1284"/>
        </w:trPr>
        <w:tc>
          <w:tcPr>
            <w:tcW w:w="9157" w:type="dxa"/>
            <w:gridSpan w:val="3"/>
            <w:vAlign w:val="center"/>
          </w:tcPr>
          <w:p w14:paraId="208FB337" w14:textId="77777777" w:rsidR="005D7CB8" w:rsidRPr="005D7CB8" w:rsidRDefault="005D7CB8" w:rsidP="005D7CB8">
            <w:pPr>
              <w:spacing w:before="120" w:after="120" w:line="260" w:lineRule="atLeast"/>
              <w:rPr>
                <w:rFonts w:ascii="Verdana" w:hAnsi="Verdana"/>
                <w:b/>
                <w:sz w:val="18"/>
                <w:szCs w:val="18"/>
                <w:lang w:val="mk-MK"/>
              </w:rPr>
            </w:pPr>
            <w:r w:rsidRPr="005D7CB8">
              <w:rPr>
                <w:rFonts w:ascii="Verdana" w:hAnsi="Verdana"/>
                <w:b/>
                <w:sz w:val="18"/>
                <w:szCs w:val="18"/>
                <w:lang w:val="mk-MK"/>
              </w:rPr>
              <w:t xml:space="preserve">Потребни средства: </w:t>
            </w:r>
          </w:p>
          <w:p w14:paraId="43DB15D4" w14:textId="10299FCA" w:rsidR="005D7CB8" w:rsidRPr="005D7CB8" w:rsidRDefault="005D7CB8" w:rsidP="005D7CB8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  <w:rPr>
                <w:lang w:val="mk-MK"/>
              </w:rPr>
            </w:pPr>
            <w:r w:rsidRPr="005D7CB8">
              <w:rPr>
                <w:lang w:val="mk-MK"/>
              </w:rPr>
              <w:t xml:space="preserve">Персонален компјутер/лаптоп опремен со софтверски верзии компатибилни со подготвените материјали </w:t>
            </w:r>
          </w:p>
          <w:p w14:paraId="46E13F7B" w14:textId="66883A25" w:rsidR="005D7CB8" w:rsidRPr="005D7CB8" w:rsidRDefault="005D7CB8" w:rsidP="005D7CB8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  <w:rPr>
                <w:lang w:val="mk-MK"/>
              </w:rPr>
            </w:pPr>
            <w:r w:rsidRPr="005D7CB8">
              <w:rPr>
                <w:lang w:val="mk-MK"/>
              </w:rPr>
              <w:t xml:space="preserve">Интернет пристап (доколку е достапен) </w:t>
            </w:r>
          </w:p>
          <w:p w14:paraId="02D70AA1" w14:textId="07240478" w:rsidR="00B06BBA" w:rsidRPr="005D7CB8" w:rsidRDefault="005D7CB8" w:rsidP="005D7CB8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  <w:rPr>
                <w:szCs w:val="18"/>
                <w:lang w:val="mk-MK"/>
              </w:rPr>
            </w:pPr>
            <w:r w:rsidRPr="005D7CB8">
              <w:rPr>
                <w:lang w:val="mk-MK"/>
              </w:rPr>
              <w:t>PowerPoint или друг софтвер за презентации</w:t>
            </w:r>
          </w:p>
        </w:tc>
      </w:tr>
      <w:tr w:rsidR="005D7CB8" w:rsidRPr="005D7CB8" w14:paraId="251E2985" w14:textId="77777777" w:rsidTr="0073783C">
        <w:trPr>
          <w:trHeight w:val="1284"/>
        </w:trPr>
        <w:tc>
          <w:tcPr>
            <w:tcW w:w="9157" w:type="dxa"/>
            <w:gridSpan w:val="3"/>
            <w:vAlign w:val="center"/>
          </w:tcPr>
          <w:p w14:paraId="468EB4CA" w14:textId="77777777" w:rsidR="005D7CB8" w:rsidRPr="005D7CB8" w:rsidRDefault="005D7CB8" w:rsidP="005D7CB8">
            <w:pPr>
              <w:spacing w:before="120" w:after="120" w:line="260" w:lineRule="atLeast"/>
              <w:rPr>
                <w:rFonts w:ascii="Verdana" w:hAnsi="Verdana"/>
                <w:b/>
                <w:sz w:val="18"/>
                <w:szCs w:val="18"/>
                <w:lang w:val="mk-MK"/>
              </w:rPr>
            </w:pPr>
            <w:r w:rsidRPr="005D7CB8">
              <w:rPr>
                <w:rFonts w:ascii="Verdana" w:hAnsi="Verdana"/>
                <w:b/>
                <w:sz w:val="18"/>
                <w:szCs w:val="18"/>
                <w:lang w:val="mk-MK"/>
              </w:rPr>
              <w:t>Цел на сесијата:</w:t>
            </w:r>
          </w:p>
          <w:p w14:paraId="527D1F14" w14:textId="70231287" w:rsidR="005D7CB8" w:rsidRPr="005D7CB8" w:rsidRDefault="005D7CB8" w:rsidP="005D7CB8">
            <w:pPr>
              <w:spacing w:before="120" w:after="120" w:line="260" w:lineRule="atLeast"/>
              <w:rPr>
                <w:rFonts w:ascii="Verdana" w:hAnsi="Verdana"/>
                <w:b/>
                <w:sz w:val="18"/>
                <w:szCs w:val="18"/>
                <w:lang w:val="mk-MK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Целта на оваа сесија е на учесниците да им се обезбеди разбирање за тоа како да спроведат јавно-приватна соработка, со посебен фокус на барање соработка од глобалните даватели на услуги преку канали, освен барањата за заемна правна помош.</w:t>
            </w:r>
          </w:p>
        </w:tc>
      </w:tr>
      <w:tr w:rsidR="00A03CF0" w:rsidRPr="005D7CB8" w14:paraId="1B5A80A7" w14:textId="77777777" w:rsidTr="0073783C">
        <w:trPr>
          <w:trHeight w:val="983"/>
        </w:trPr>
        <w:tc>
          <w:tcPr>
            <w:tcW w:w="9157" w:type="dxa"/>
            <w:gridSpan w:val="3"/>
            <w:vAlign w:val="center"/>
          </w:tcPr>
          <w:p w14:paraId="559A7E05" w14:textId="4FF1B8AE" w:rsidR="00A03CF0" w:rsidRPr="005D7CB8" w:rsidRDefault="0000256C" w:rsidP="005D7CB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5D7CB8">
              <w:rPr>
                <w:rFonts w:ascii="Verdana" w:hAnsi="Verdana"/>
                <w:b/>
                <w:sz w:val="22"/>
                <w:szCs w:val="22"/>
                <w:lang w:val="mk-MK"/>
              </w:rPr>
              <w:t>Цели:</w:t>
            </w:r>
          </w:p>
          <w:p w14:paraId="7552C5F6" w14:textId="0746C654" w:rsidR="000F7896" w:rsidRPr="005D7CB8" w:rsidRDefault="0000256C" w:rsidP="005D7CB8">
            <w:pPr>
              <w:tabs>
                <w:tab w:val="left" w:pos="426"/>
                <w:tab w:val="left" w:pos="851"/>
              </w:tabs>
              <w:spacing w:before="120" w:after="120"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D7CB8">
              <w:rPr>
                <w:rFonts w:ascii="Verdana" w:eastAsia="Times New Roman" w:hAnsi="Verdana" w:cs="Times New Roman"/>
                <w:sz w:val="18"/>
                <w:szCs w:val="18"/>
                <w:lang w:val="mk-MK"/>
              </w:rPr>
              <w:t>На крајот на оваа сесија, делегатите ќе можат да:</w:t>
            </w:r>
          </w:p>
          <w:p w14:paraId="107FE003" w14:textId="41333332" w:rsidR="00D92E47" w:rsidRPr="005D7CB8" w:rsidRDefault="007442FA" w:rsidP="005D7CB8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5D7CB8">
              <w:rPr>
                <w:lang w:val="mk-MK"/>
              </w:rPr>
              <w:t>Ги п</w:t>
            </w:r>
            <w:r w:rsidR="0000256C" w:rsidRPr="005D7CB8">
              <w:rPr>
                <w:lang w:val="mk-MK"/>
              </w:rPr>
              <w:t>регледаат примарните класификации на податоците и информациите што ги чува приватниот сектор</w:t>
            </w:r>
          </w:p>
          <w:p w14:paraId="14C19794" w14:textId="643FE538" w:rsidR="00D92E47" w:rsidRPr="005D7CB8" w:rsidRDefault="0000256C" w:rsidP="005D7CB8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5D7CB8">
              <w:rPr>
                <w:lang w:val="mk-MK"/>
              </w:rPr>
              <w:t>Да ги разберат клучните размислувања кога соработуваат со домашни даватели на услуги</w:t>
            </w:r>
          </w:p>
          <w:p w14:paraId="61E0BCFD" w14:textId="0249904E" w:rsidR="00D92E47" w:rsidRPr="005D7CB8" w:rsidRDefault="0000256C" w:rsidP="005D7CB8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5D7CB8">
              <w:rPr>
                <w:lang w:val="mk-MK"/>
              </w:rPr>
              <w:t xml:space="preserve">Да дискутираат за механизмите за соработка со странски даватели на услуги за стекнување податоци, вклучувајќи </w:t>
            </w:r>
            <w:r w:rsidR="007442FA" w:rsidRPr="005D7CB8">
              <w:rPr>
                <w:lang w:val="mk-MK"/>
              </w:rPr>
              <w:t>А</w:t>
            </w:r>
            <w:r w:rsidRPr="005D7CB8">
              <w:rPr>
                <w:lang w:val="mk-MK"/>
              </w:rPr>
              <w:t>ЗПП, итни барања, налози за производство и доброволна соработка</w:t>
            </w:r>
            <w:r w:rsidR="00D92E47" w:rsidRPr="005D7CB8">
              <w:t xml:space="preserve"> </w:t>
            </w:r>
          </w:p>
          <w:p w14:paraId="17BDDA9E" w14:textId="5B31B695" w:rsidR="00D92E47" w:rsidRPr="005D7CB8" w:rsidRDefault="0000256C" w:rsidP="005D7CB8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5D7CB8">
              <w:rPr>
                <w:lang w:val="mk-MK"/>
              </w:rPr>
              <w:t>Да дискутираат за механизмите за соработка со странски даватели на услуги за отстранување на нелегална содржина</w:t>
            </w:r>
          </w:p>
          <w:p w14:paraId="61ABEAC5" w14:textId="1D365F74" w:rsidR="00C45A81" w:rsidRPr="005D7CB8" w:rsidRDefault="0000256C" w:rsidP="005D7CB8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5D7CB8">
              <w:rPr>
                <w:lang w:val="mk-MK"/>
              </w:rPr>
              <w:t>Да ги разберат најдобрите практики за соработка со странски даватели на услуги</w:t>
            </w:r>
            <w:r w:rsidR="00D92E47" w:rsidRPr="005D7CB8">
              <w:t xml:space="preserve"> </w:t>
            </w:r>
            <w:r w:rsidR="00645E05" w:rsidRPr="005D7CB8">
              <w:t xml:space="preserve"> </w:t>
            </w:r>
          </w:p>
        </w:tc>
      </w:tr>
      <w:tr w:rsidR="005703B7" w:rsidRPr="005D7CB8" w14:paraId="03110757" w14:textId="77777777" w:rsidTr="0073783C">
        <w:trPr>
          <w:trHeight w:val="58"/>
        </w:trPr>
        <w:tc>
          <w:tcPr>
            <w:tcW w:w="9157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49F8B025" w:rsidR="005703B7" w:rsidRPr="005D7CB8" w:rsidRDefault="0000256C" w:rsidP="005D7CB8">
            <w:pPr>
              <w:spacing w:before="120" w:after="120" w:line="260" w:lineRule="atLeast"/>
              <w:rPr>
                <w:rFonts w:ascii="Verdana" w:hAnsi="Verdana"/>
                <w:b/>
                <w:color w:val="000000" w:themeColor="text1"/>
                <w:sz w:val="22"/>
                <w:szCs w:val="22"/>
                <w:lang w:val="de-DE"/>
              </w:rPr>
            </w:pPr>
            <w:r w:rsidRPr="005D7CB8">
              <w:rPr>
                <w:rFonts w:ascii="Verdana" w:hAnsi="Verdana"/>
                <w:b/>
                <w:color w:val="000000" w:themeColor="text1"/>
                <w:sz w:val="22"/>
                <w:szCs w:val="22"/>
                <w:lang w:val="mk-MK"/>
              </w:rPr>
              <w:t>Упатство за обучувачи</w:t>
            </w:r>
          </w:p>
          <w:p w14:paraId="5EFF4BEF" w14:textId="3DE82259" w:rsidR="002738BB" w:rsidRPr="005D7CB8" w:rsidRDefault="0000256C" w:rsidP="005D7CB8">
            <w:pPr>
              <w:spacing w:before="120" w:after="120" w:line="260" w:lineRule="atLeast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</w:pP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Оваа сесија е поделена на 5 дела, покрај вовед</w:t>
            </w:r>
            <w:r w:rsidR="0073783C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от</w:t>
            </w: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заклучок</w:t>
            </w:r>
            <w:r w:rsidR="0073783C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от</w:t>
            </w: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.</w:t>
            </w:r>
            <w:r w:rsidR="00411722" w:rsidRPr="005D7CB8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7442FA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Сесијата д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ава преглед на клучните дефиниции што ќе бидат релевантни за овој модул.</w:t>
            </w:r>
            <w:r w:rsidR="002738BB" w:rsidRPr="005D7CB8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Потоа, опиш</w:t>
            </w:r>
            <w:r w:rsidR="0073783C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ана е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соработката со домашните даватели на услуги – особено како</w:t>
            </w:r>
            <w:r w:rsidR="0073783C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може да се користат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одредбите </w:t>
            </w:r>
            <w:r w:rsidR="007442FA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од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домашно</w:t>
            </w:r>
            <w:r w:rsidR="007442FA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то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право што одговараат на членовите 16 – 21 во однос на домашните даватели на услуги.</w:t>
            </w:r>
            <w:r w:rsidR="002738BB" w:rsidRPr="005D7CB8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Следниот дел од сесијата ја разгледува соработката со странски даватели на услуги во врска со </w:t>
            </w:r>
            <w:r w:rsidR="0073783C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обезбеду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вање</w:t>
            </w:r>
            <w:r w:rsidR="0073783C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то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на податоци.</w:t>
            </w:r>
            <w:r w:rsidR="002738BB" w:rsidRPr="005D7CB8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Сесијата исто така ја опишува соработката со странските даватели на услуги во врска со отстранување на содржината.</w:t>
            </w:r>
            <w:r w:rsidR="00411722" w:rsidRPr="005D7CB8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Ова е проследено со студија на случај.</w:t>
            </w:r>
            <w:r w:rsidR="00FE4BFE" w:rsidRPr="005D7CB8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Обучувачот</w:t>
            </w:r>
            <w:r w:rsidR="007442FA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,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доколку сака</w:t>
            </w:r>
            <w:r w:rsidR="007442FA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,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може на почетокот на оваа сесија да побара од учесниците да ги споделат своите искуства </w:t>
            </w:r>
            <w:r w:rsidR="007442FA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при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соработката со давателите на услуги.</w:t>
            </w:r>
            <w:r w:rsidR="002738BB" w:rsidRPr="005D7CB8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C20561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Ова може да му помогне на обучувачот да идентификува специфични аспекти на курсот на кои треба да се фокусира.</w:t>
            </w:r>
            <w:r w:rsidR="002738BB" w:rsidRPr="005D7CB8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</w:p>
        </w:tc>
      </w:tr>
      <w:tr w:rsidR="005A4E47" w:rsidRPr="005D7CB8" w14:paraId="7760520D" w14:textId="77777777" w:rsidTr="0073783C">
        <w:trPr>
          <w:trHeight w:val="728"/>
        </w:trPr>
        <w:tc>
          <w:tcPr>
            <w:tcW w:w="9157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1601771B" w:rsidR="005A4E47" w:rsidRPr="005D7CB8" w:rsidRDefault="00C20561" w:rsidP="005D7CB8">
            <w:pPr>
              <w:spacing w:before="120" w:after="120" w:line="260" w:lineRule="atLeast"/>
              <w:rPr>
                <w:rFonts w:ascii="Verdana" w:hAnsi="Verdana"/>
                <w:b/>
                <w:sz w:val="28"/>
                <w:szCs w:val="28"/>
              </w:rPr>
            </w:pPr>
            <w:r w:rsidRPr="005D7CB8">
              <w:rPr>
                <w:rFonts w:ascii="Verdana" w:hAnsi="Verdana"/>
                <w:b/>
                <w:sz w:val="28"/>
                <w:szCs w:val="28"/>
                <w:lang w:val="mk-MK"/>
              </w:rPr>
              <w:t>Содржина на лекцијата</w:t>
            </w:r>
          </w:p>
        </w:tc>
      </w:tr>
      <w:tr w:rsidR="00F1574D" w:rsidRPr="005D7CB8" w14:paraId="57CC7AA4" w14:textId="77777777" w:rsidTr="0073783C">
        <w:trPr>
          <w:trHeight w:val="629"/>
        </w:trPr>
        <w:tc>
          <w:tcPr>
            <w:tcW w:w="1672" w:type="dxa"/>
            <w:shd w:val="clear" w:color="auto" w:fill="D9E2F3" w:themeFill="accent1" w:themeFillTint="33"/>
            <w:vAlign w:val="center"/>
          </w:tcPr>
          <w:p w14:paraId="4538C338" w14:textId="51430992" w:rsidR="00D82C18" w:rsidRPr="005D7CB8" w:rsidRDefault="00C20561" w:rsidP="005D7CB8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D7CB8">
              <w:rPr>
                <w:rFonts w:ascii="Verdana" w:hAnsi="Verdana"/>
                <w:b/>
                <w:sz w:val="22"/>
                <w:szCs w:val="22"/>
                <w:lang w:val="mk-MK"/>
              </w:rPr>
              <w:t>Број на слајдови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13D2F9D0" w:rsidR="00D82C18" w:rsidRPr="005D7CB8" w:rsidRDefault="00C20561" w:rsidP="005D7CB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5D7CB8">
              <w:rPr>
                <w:rFonts w:ascii="Verdana" w:hAnsi="Verdana"/>
                <w:b/>
                <w:sz w:val="22"/>
                <w:szCs w:val="22"/>
                <w:lang w:val="mk-MK"/>
              </w:rPr>
              <w:t>Содржина</w:t>
            </w:r>
          </w:p>
        </w:tc>
      </w:tr>
      <w:tr w:rsidR="00F1574D" w:rsidRPr="005D7CB8" w14:paraId="11A12D7E" w14:textId="77777777" w:rsidTr="0073783C">
        <w:trPr>
          <w:trHeight w:val="591"/>
        </w:trPr>
        <w:tc>
          <w:tcPr>
            <w:tcW w:w="1672" w:type="dxa"/>
            <w:vAlign w:val="center"/>
          </w:tcPr>
          <w:p w14:paraId="67083237" w14:textId="1FC656E3" w:rsidR="00D82C18" w:rsidRPr="005D7CB8" w:rsidRDefault="00C20561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1 до 3</w:t>
            </w:r>
          </w:p>
          <w:p w14:paraId="5A89CF27" w14:textId="17001065" w:rsidR="00F1574D" w:rsidRPr="005D7CB8" w:rsidRDefault="00C20561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7881A291" w:rsidR="00556D69" w:rsidRPr="005D7CB8" w:rsidRDefault="00C20561" w:rsidP="005D7CB8">
            <w:pPr>
              <w:spacing w:before="120" w:after="120" w:line="260" w:lineRule="atLeast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Почетните слајдови се воведот во сесијата и ги содржат </w:t>
            </w:r>
            <w:r w:rsidR="007442FA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дневниот ред</w:t>
            </w: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целите на сесијата.</w:t>
            </w:r>
            <w:r w:rsidR="00556D69" w:rsidRPr="005D7CB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574D" w:rsidRPr="005D7CB8" w14:paraId="65F07CB5" w14:textId="77777777" w:rsidTr="0073783C">
        <w:trPr>
          <w:trHeight w:val="1880"/>
        </w:trPr>
        <w:tc>
          <w:tcPr>
            <w:tcW w:w="1672" w:type="dxa"/>
            <w:vAlign w:val="center"/>
          </w:tcPr>
          <w:p w14:paraId="56AF6365" w14:textId="20469781" w:rsidR="00D82C18" w:rsidRPr="005D7CB8" w:rsidRDefault="00C20561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4 до 10</w:t>
            </w:r>
          </w:p>
          <w:p w14:paraId="6F5AEB2D" w14:textId="4F2EE908" w:rsidR="00F1574D" w:rsidRPr="005D7CB8" w:rsidRDefault="00C20561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Важни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649FEA68" w14:textId="20579C23" w:rsidR="0062475C" w:rsidRPr="005D7CB8" w:rsidRDefault="00C20561" w:rsidP="005D7CB8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Овие слајдови ги разгледуваат клучните дефиниции на „давател на услуга“, „</w:t>
            </w:r>
            <w:r w:rsidR="0073783C" w:rsidRPr="005D7CB8">
              <w:rPr>
                <w:rFonts w:ascii="Verdana" w:hAnsi="Verdana"/>
                <w:sz w:val="18"/>
                <w:szCs w:val="18"/>
                <w:lang w:val="mk-MK"/>
              </w:rPr>
              <w:t>податочен сообраќај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“ и „информации за претплатникот“.</w:t>
            </w:r>
            <w:r w:rsidR="00411722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Исто така</w:t>
            </w:r>
            <w:r w:rsidR="007442FA" w:rsidRPr="005D7CB8">
              <w:rPr>
                <w:rFonts w:ascii="Verdana" w:hAnsi="Verdana"/>
                <w:sz w:val="18"/>
                <w:szCs w:val="18"/>
                <w:lang w:val="mk-MK"/>
              </w:rPr>
              <w:t>,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вклуч</w:t>
            </w:r>
            <w:r w:rsidR="0073783C" w:rsidRPr="005D7CB8">
              <w:rPr>
                <w:rFonts w:ascii="Verdana" w:hAnsi="Verdana"/>
                <w:sz w:val="18"/>
                <w:szCs w:val="18"/>
                <w:lang w:val="mk-MK"/>
              </w:rPr>
              <w:t>ено е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и анкетно прашање.</w:t>
            </w:r>
            <w:r w:rsidR="00411722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Обучувачот може да избере да не ги </w:t>
            </w:r>
            <w:r w:rsidR="007442FA" w:rsidRPr="005D7CB8">
              <w:rPr>
                <w:rFonts w:ascii="Verdana" w:hAnsi="Verdana"/>
                <w:sz w:val="18"/>
                <w:szCs w:val="18"/>
                <w:lang w:val="mk-MK"/>
              </w:rPr>
              <w:t>помин</w:t>
            </w:r>
            <w:r w:rsidR="00B04264" w:rsidRPr="005D7CB8">
              <w:rPr>
                <w:rFonts w:ascii="Verdana" w:hAnsi="Verdana"/>
                <w:sz w:val="18"/>
                <w:szCs w:val="18"/>
                <w:lang w:val="mk-MK"/>
              </w:rPr>
              <w:t>е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овие слајдови доколку смета дека учесниците се сеќаваат на значењето на овие </w:t>
            </w:r>
            <w:r w:rsidR="0073783C" w:rsidRPr="005D7CB8">
              <w:rPr>
                <w:rFonts w:ascii="Verdana" w:hAnsi="Verdana"/>
                <w:sz w:val="18"/>
                <w:szCs w:val="18"/>
                <w:lang w:val="mk-MK"/>
              </w:rPr>
              <w:t>поим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и од претходните сесии.</w:t>
            </w:r>
            <w:r w:rsidR="00411722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1574D" w:rsidRPr="005D7CB8" w14:paraId="15587DD6" w14:textId="77777777" w:rsidTr="0073783C">
        <w:trPr>
          <w:trHeight w:val="1916"/>
        </w:trPr>
        <w:tc>
          <w:tcPr>
            <w:tcW w:w="1672" w:type="dxa"/>
            <w:vAlign w:val="center"/>
          </w:tcPr>
          <w:p w14:paraId="5EBB803A" w14:textId="5933D9C5" w:rsidR="00556D69" w:rsidRPr="005D7CB8" w:rsidRDefault="00C20561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11 до 22</w:t>
            </w:r>
          </w:p>
          <w:p w14:paraId="65C32028" w14:textId="35362D83" w:rsidR="00F1574D" w:rsidRPr="005D7CB8" w:rsidRDefault="00C20561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09B58FC0" w14:textId="301CCEB0" w:rsidR="00637AFB" w:rsidRPr="005D7CB8" w:rsidRDefault="005C01D1" w:rsidP="005D7CB8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Овие слајдови дискутираат за тоа како да соработуваат со домашните даватели на услуги.</w:t>
            </w:r>
            <w:r w:rsidR="00D429DB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Тие објаснуваат дека иако проце</w:t>
            </w:r>
            <w:r w:rsidR="0073783C" w:rsidRPr="005D7CB8">
              <w:rPr>
                <w:rFonts w:ascii="Verdana" w:hAnsi="Verdana"/>
                <w:sz w:val="18"/>
                <w:szCs w:val="18"/>
                <w:lang w:val="mk-MK"/>
              </w:rPr>
              <w:t>с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ните овластувања утврдени во согласност со членовите 16-21 можат да се користат во однос на домашните даватели на услуги, повеќето од овие мерки се принудни.</w:t>
            </w:r>
            <w:r w:rsidR="00D429DB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Налозите за </w:t>
            </w:r>
            <w:r w:rsidR="0073783C"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генерирање информации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најчесто се помалку принудни и би биле во рамките на опсегот на јавно-приватната соработка.</w:t>
            </w:r>
            <w:r w:rsidR="00D429DB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Овие слајдови го повторуваат оп</w:t>
            </w:r>
            <w:r w:rsidR="00A16E57" w:rsidRPr="005D7CB8">
              <w:rPr>
                <w:rFonts w:ascii="Verdana" w:hAnsi="Verdana"/>
                <w:sz w:val="18"/>
                <w:szCs w:val="18"/>
                <w:lang w:val="mk-MK"/>
              </w:rPr>
              <w:t>фат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от на член 18 од Конвенцијата од Будимпешта.</w:t>
            </w:r>
            <w:r w:rsidR="00D429DB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Овој дел завршува со анкетно прашање.</w:t>
            </w:r>
          </w:p>
        </w:tc>
      </w:tr>
      <w:tr w:rsidR="00F1574D" w:rsidRPr="005D7CB8" w14:paraId="4F010995" w14:textId="77777777" w:rsidTr="0073783C">
        <w:trPr>
          <w:trHeight w:val="791"/>
        </w:trPr>
        <w:tc>
          <w:tcPr>
            <w:tcW w:w="1672" w:type="dxa"/>
            <w:vAlign w:val="center"/>
          </w:tcPr>
          <w:p w14:paraId="0EC3C0F5" w14:textId="4A91E878" w:rsidR="00C70C5C" w:rsidRPr="005D7CB8" w:rsidRDefault="005C01D1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23 до 49</w:t>
            </w:r>
          </w:p>
          <w:p w14:paraId="48504862" w14:textId="5A902440" w:rsidR="00334BD0" w:rsidRPr="005D7CB8" w:rsidRDefault="005C01D1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4AF5B3D7" w14:textId="41F5DFD3" w:rsidR="0095051C" w:rsidRPr="005D7CB8" w:rsidRDefault="005C01D1" w:rsidP="005D7CB8">
            <w:pPr>
              <w:pStyle w:val="Subtitle"/>
              <w:spacing w:before="120" w:line="260" w:lineRule="atLeast"/>
              <w:rPr>
                <w:rFonts w:ascii="Verdana" w:eastAsia="Times New Roman" w:hAnsi="Verdana"/>
                <w:iCs w:val="0"/>
              </w:rPr>
            </w:pPr>
            <w:r w:rsidRPr="005D7CB8">
              <w:rPr>
                <w:rFonts w:ascii="Verdana" w:hAnsi="Verdana"/>
                <w:szCs w:val="18"/>
                <w:lang w:val="mk-MK"/>
              </w:rPr>
              <w:t>Овие слајдови дискутираат за тоа како да соработуваат со странските даватели на услуги.</w:t>
            </w:r>
            <w:r w:rsidR="00D429DB" w:rsidRPr="005D7CB8">
              <w:rPr>
                <w:rFonts w:ascii="Verdana" w:hAnsi="Verdana"/>
                <w:szCs w:val="18"/>
              </w:rPr>
              <w:t xml:space="preserve"> </w:t>
            </w:r>
            <w:r w:rsidR="00A16E57" w:rsidRPr="005D7CB8">
              <w:rPr>
                <w:rFonts w:ascii="Verdana" w:hAnsi="Verdana"/>
                <w:szCs w:val="18"/>
                <w:lang w:val="mk-MK"/>
              </w:rPr>
              <w:t>Истите</w:t>
            </w:r>
            <w:r w:rsidR="008C59DC" w:rsidRPr="005D7CB8">
              <w:rPr>
                <w:rFonts w:ascii="Verdana" w:hAnsi="Verdana"/>
                <w:szCs w:val="18"/>
                <w:lang w:val="mk-MK"/>
              </w:rPr>
              <w:t xml:space="preserve"> опфаќаат различни начини на кои можат да се побараат податоци од странските даватели на услуги, вклучувајќи преку </w:t>
            </w:r>
            <w:r w:rsidR="00A16E57" w:rsidRPr="005D7CB8">
              <w:rPr>
                <w:rFonts w:ascii="Verdana" w:hAnsi="Verdana"/>
                <w:szCs w:val="18"/>
                <w:lang w:val="mk-MK"/>
              </w:rPr>
              <w:t>Д</w:t>
            </w:r>
            <w:r w:rsidR="00161FE6" w:rsidRPr="005D7CB8">
              <w:rPr>
                <w:rFonts w:ascii="Verdana" w:hAnsi="Verdana"/>
                <w:szCs w:val="18"/>
                <w:lang w:val="mk-MK"/>
              </w:rPr>
              <w:t>ЗПП</w:t>
            </w:r>
            <w:r w:rsidR="00A16E57" w:rsidRPr="005D7CB8">
              <w:rPr>
                <w:rFonts w:ascii="Verdana" w:hAnsi="Verdana"/>
                <w:szCs w:val="18"/>
                <w:lang w:val="mk-MK"/>
              </w:rPr>
              <w:t>/</w:t>
            </w:r>
            <w:r w:rsidR="00A16E57" w:rsidRPr="005D7CB8">
              <w:rPr>
                <w:rFonts w:ascii="Verdana" w:hAnsi="Verdana"/>
                <w:szCs w:val="18"/>
                <w:lang w:val="en-US"/>
              </w:rPr>
              <w:t>MLAT</w:t>
            </w:r>
            <w:r w:rsidR="008C59DC" w:rsidRPr="005D7CB8">
              <w:rPr>
                <w:rFonts w:ascii="Verdana" w:hAnsi="Verdana"/>
                <w:szCs w:val="18"/>
                <w:lang w:val="mk-MK"/>
              </w:rPr>
              <w:t>, барања за откривање</w:t>
            </w:r>
            <w:r w:rsidR="00A16E57" w:rsidRPr="005D7CB8">
              <w:rPr>
                <w:rFonts w:ascii="Verdana" w:hAnsi="Verdana"/>
                <w:szCs w:val="18"/>
                <w:lang w:val="mk-MK"/>
              </w:rPr>
              <w:t xml:space="preserve"> во итен случај</w:t>
            </w:r>
            <w:r w:rsidR="008C59DC" w:rsidRPr="005D7CB8">
              <w:rPr>
                <w:rFonts w:ascii="Verdana" w:hAnsi="Verdana"/>
                <w:szCs w:val="18"/>
                <w:lang w:val="mk-MK"/>
              </w:rPr>
              <w:t>, налози за</w:t>
            </w:r>
            <w:r w:rsidR="00A16E57" w:rsidRPr="005D7CB8">
              <w:rPr>
                <w:rFonts w:ascii="Verdana" w:hAnsi="Verdana"/>
                <w:szCs w:val="18"/>
                <w:lang w:val="mk-MK"/>
              </w:rPr>
              <w:t xml:space="preserve"> генерирање информации</w:t>
            </w:r>
            <w:r w:rsidR="008C59DC" w:rsidRPr="005D7CB8">
              <w:rPr>
                <w:rFonts w:ascii="Verdana" w:hAnsi="Verdana"/>
                <w:szCs w:val="18"/>
                <w:lang w:val="mk-MK"/>
              </w:rPr>
              <w:t xml:space="preserve">, прекуграничен пристап со согласност и преку доброволна соработка. </w:t>
            </w:r>
            <w:r w:rsidR="00D429DB" w:rsidRPr="005D7CB8">
              <w:rPr>
                <w:rFonts w:ascii="Verdana" w:hAnsi="Verdana"/>
                <w:szCs w:val="18"/>
              </w:rPr>
              <w:t xml:space="preserve"> </w:t>
            </w:r>
            <w:r w:rsidR="008C59DC" w:rsidRPr="005D7CB8">
              <w:rPr>
                <w:rFonts w:ascii="Verdana" w:hAnsi="Verdana"/>
                <w:szCs w:val="18"/>
                <w:lang w:val="mk-MK"/>
              </w:rPr>
              <w:t xml:space="preserve">Овие слајдови покажуваат практични примери за формулари и портали што различни глобални даватели на услуги ги ставаат на располагање </w:t>
            </w:r>
            <w:r w:rsidR="00A16E57" w:rsidRPr="005D7CB8">
              <w:rPr>
                <w:rFonts w:ascii="Verdana" w:hAnsi="Verdana"/>
                <w:szCs w:val="18"/>
                <w:lang w:val="mk-MK"/>
              </w:rPr>
              <w:t>во случај н</w:t>
            </w:r>
            <w:r w:rsidR="008C59DC" w:rsidRPr="005D7CB8">
              <w:rPr>
                <w:rFonts w:ascii="Verdana" w:hAnsi="Verdana"/>
                <w:szCs w:val="18"/>
                <w:lang w:val="mk-MK"/>
              </w:rPr>
              <w:t>а барање на различни видови соработка.</w:t>
            </w:r>
            <w:r w:rsidR="00D429DB" w:rsidRPr="005D7CB8">
              <w:rPr>
                <w:rFonts w:ascii="Verdana" w:hAnsi="Verdana"/>
                <w:szCs w:val="18"/>
              </w:rPr>
              <w:t xml:space="preserve"> </w:t>
            </w:r>
            <w:r w:rsidR="008C59DC" w:rsidRPr="005D7CB8">
              <w:rPr>
                <w:rFonts w:ascii="Verdana" w:hAnsi="Verdana"/>
                <w:szCs w:val="18"/>
                <w:lang w:val="mk-MK"/>
              </w:rPr>
              <w:t>Овој дел завршува со анкетно прашање.</w:t>
            </w:r>
            <w:r w:rsidR="00D429DB" w:rsidRPr="005D7CB8">
              <w:rPr>
                <w:rFonts w:ascii="Verdana" w:hAnsi="Verdana"/>
                <w:szCs w:val="18"/>
              </w:rPr>
              <w:t xml:space="preserve"> </w:t>
            </w:r>
          </w:p>
        </w:tc>
      </w:tr>
      <w:tr w:rsidR="00CE67EA" w:rsidRPr="005D7CB8" w14:paraId="36E3D895" w14:textId="77777777" w:rsidTr="0073783C">
        <w:trPr>
          <w:trHeight w:val="791"/>
        </w:trPr>
        <w:tc>
          <w:tcPr>
            <w:tcW w:w="1672" w:type="dxa"/>
            <w:vAlign w:val="center"/>
          </w:tcPr>
          <w:p w14:paraId="14511361" w14:textId="77308140" w:rsidR="00CA7AE4" w:rsidRPr="005D7CB8" w:rsidRDefault="008C59DC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51 до 53</w:t>
            </w:r>
          </w:p>
          <w:p w14:paraId="3303FBB7" w14:textId="1ADB6625" w:rsidR="00CE67EA" w:rsidRPr="005D7CB8" w:rsidRDefault="008C59DC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3ADC7791" w14:textId="18F88261" w:rsidR="00CE67EA" w:rsidRPr="005D7CB8" w:rsidRDefault="008C59DC" w:rsidP="005D7CB8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</w:t>
            </w:r>
            <w:r w:rsidR="00161FE6" w:rsidRPr="005D7CB8">
              <w:rPr>
                <w:rFonts w:ascii="Verdana" w:hAnsi="Verdana"/>
                <w:sz w:val="18"/>
                <w:szCs w:val="18"/>
                <w:lang w:val="mk-MK"/>
              </w:rPr>
              <w:t>дискутираат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за тоа како да</w:t>
            </w:r>
            <w:r w:rsidR="00A16E57"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се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соработува</w:t>
            </w:r>
            <w:r w:rsidR="00A16E57"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со странските даватели на услуги </w:t>
            </w:r>
            <w:r w:rsidR="00A16E57" w:rsidRPr="005D7CB8">
              <w:rPr>
                <w:rFonts w:ascii="Verdana" w:hAnsi="Verdana"/>
                <w:sz w:val="18"/>
                <w:szCs w:val="18"/>
                <w:lang w:val="mk-MK"/>
              </w:rPr>
              <w:t>при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отстранување на содржина.</w:t>
            </w:r>
            <w:r w:rsidR="00D429DB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Иако ова е надвор од оп</w:t>
            </w:r>
            <w:r w:rsidR="00A16E57" w:rsidRPr="005D7CB8">
              <w:rPr>
                <w:rFonts w:ascii="Verdana" w:hAnsi="Verdana"/>
                <w:sz w:val="18"/>
                <w:szCs w:val="18"/>
                <w:lang w:val="mk-MK"/>
              </w:rPr>
              <w:t>фат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от на Конвенцијата од Будимпешта, на многу надлежни органи им е сè поважно да разберат како да побараат соработка од странските даватели на услуги за отстранување на штетна содржина од нивните платформи.</w:t>
            </w:r>
            <w:r w:rsidR="00697151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75170" w:rsidRPr="005D7CB8" w14:paraId="35736C4C" w14:textId="77777777" w:rsidTr="0073783C">
        <w:trPr>
          <w:trHeight w:val="791"/>
        </w:trPr>
        <w:tc>
          <w:tcPr>
            <w:tcW w:w="1672" w:type="dxa"/>
            <w:vAlign w:val="center"/>
          </w:tcPr>
          <w:p w14:paraId="2831EDCE" w14:textId="451D4B4A" w:rsidR="00975170" w:rsidRPr="005D7CB8" w:rsidRDefault="008C59DC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54 до 59</w:t>
            </w:r>
          </w:p>
        </w:tc>
        <w:tc>
          <w:tcPr>
            <w:tcW w:w="7485" w:type="dxa"/>
            <w:gridSpan w:val="2"/>
            <w:vAlign w:val="center"/>
          </w:tcPr>
          <w:p w14:paraId="1E7CD13A" w14:textId="22B71088" w:rsidR="006E00B9" w:rsidRPr="005D7CB8" w:rsidRDefault="004C0D34" w:rsidP="005D7CB8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</w:t>
            </w:r>
            <w:r w:rsidR="00A16E57" w:rsidRPr="005D7CB8">
              <w:rPr>
                <w:rFonts w:ascii="Verdana" w:hAnsi="Verdana"/>
                <w:sz w:val="18"/>
                <w:szCs w:val="18"/>
                <w:lang w:val="mk-MK"/>
              </w:rPr>
              <w:t>содрж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ат вежба за студија на случај што ќе му овозможи на обучувачот да тестира до кој степен учесниците можат да ги применат информациите што ги стекнале за време на овој и претходните модули.</w:t>
            </w:r>
            <w:r w:rsidR="006E00B9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Обучувачот треба да ги прочит</w:t>
            </w:r>
            <w:r w:rsidR="00161FE6" w:rsidRPr="005D7CB8">
              <w:rPr>
                <w:rFonts w:ascii="Verdana" w:hAnsi="Verdana"/>
                <w:sz w:val="18"/>
                <w:szCs w:val="18"/>
                <w:lang w:val="mk-MK"/>
              </w:rPr>
              <w:t>а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 xml:space="preserve"> фактите и прашањата, а потоа да им даде шанса на учесниците да дадат одговори.</w:t>
            </w:r>
            <w:r w:rsidR="006E00B9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Обучувачот може да се консултира со белешките на слајдовите за повеќе информации за видот на одговорите што може да ги очекува.</w:t>
            </w:r>
            <w:r w:rsidR="006E00B9" w:rsidRPr="005D7C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A7AE4" w:rsidRPr="005D7CB8" w14:paraId="22C5AB80" w14:textId="77777777" w:rsidTr="0073783C">
        <w:trPr>
          <w:trHeight w:val="791"/>
        </w:trPr>
        <w:tc>
          <w:tcPr>
            <w:tcW w:w="1672" w:type="dxa"/>
            <w:vAlign w:val="center"/>
          </w:tcPr>
          <w:p w14:paraId="0D063FA8" w14:textId="21703159" w:rsidR="00CA7AE4" w:rsidRPr="005D7CB8" w:rsidRDefault="004C0D34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60 до 62</w:t>
            </w:r>
          </w:p>
          <w:p w14:paraId="209E53F0" w14:textId="6821F3CE" w:rsidR="00CA7AE4" w:rsidRPr="005D7CB8" w:rsidRDefault="004C0D34" w:rsidP="005D7CB8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Важни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7506D927" w14:textId="799302D2" w:rsidR="00CA7AE4" w:rsidRPr="005D7CB8" w:rsidRDefault="004C0D34" w:rsidP="005D7CB8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sz w:val="18"/>
                <w:szCs w:val="18"/>
                <w:lang w:val="mk-MK"/>
              </w:rPr>
              <w:t>Обучувачот треба да ги повтори целите на сесијата со делегатите и да им даде можност да постават какви било прашања во врска со материјалите опфатени во овој модул.</w:t>
            </w:r>
          </w:p>
        </w:tc>
      </w:tr>
      <w:tr w:rsidR="00CB3026" w:rsidRPr="005D7CB8" w14:paraId="2ECF09B7" w14:textId="77777777" w:rsidTr="0073783C">
        <w:trPr>
          <w:trHeight w:val="890"/>
        </w:trPr>
        <w:tc>
          <w:tcPr>
            <w:tcW w:w="9157" w:type="dxa"/>
            <w:gridSpan w:val="3"/>
            <w:vAlign w:val="center"/>
          </w:tcPr>
          <w:p w14:paraId="55ED1F4B" w14:textId="17E01C17" w:rsidR="00CB3026" w:rsidRPr="005D7CB8" w:rsidRDefault="004C0D34" w:rsidP="005D7CB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5D7CB8">
              <w:rPr>
                <w:rFonts w:ascii="Verdana" w:hAnsi="Verdana"/>
                <w:b/>
                <w:sz w:val="22"/>
                <w:szCs w:val="22"/>
                <w:lang w:val="mk-MK"/>
              </w:rPr>
              <w:t>Практични вежби</w:t>
            </w:r>
          </w:p>
          <w:p w14:paraId="04D65D89" w14:textId="6FE78A7E" w:rsidR="00CB3026" w:rsidRPr="005D7CB8" w:rsidRDefault="004C0D34" w:rsidP="005D7CB8">
            <w:pPr>
              <w:spacing w:before="120" w:after="120" w:line="260" w:lineRule="atLeast"/>
              <w:rPr>
                <w:rFonts w:ascii="Verdana" w:hAnsi="Verdana"/>
                <w:sz w:val="18"/>
                <w:szCs w:val="18"/>
              </w:rPr>
            </w:pP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Нема практични вежби поврзани со оваа лекција.</w:t>
            </w:r>
            <w:r w:rsidR="00975170" w:rsidRPr="005D7CB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Обучувачот ќе презентира кратка студија на случај и</w:t>
            </w:r>
            <w:r w:rsidR="00161FE6"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ќе ги замоли учесниците усн</w:t>
            </w: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 да одговорат на прашањата.</w:t>
            </w:r>
            <w:r w:rsidR="00411722" w:rsidRPr="005D7CB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3026" w:rsidRPr="005D7CB8" w14:paraId="603967A2" w14:textId="77777777" w:rsidTr="0073783C">
        <w:tc>
          <w:tcPr>
            <w:tcW w:w="9157" w:type="dxa"/>
            <w:gridSpan w:val="3"/>
            <w:vAlign w:val="center"/>
          </w:tcPr>
          <w:p w14:paraId="57B48D1E" w14:textId="20B8FB70" w:rsidR="00CB3026" w:rsidRPr="005D7CB8" w:rsidRDefault="004C0D34" w:rsidP="005D7CB8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5D7CB8">
              <w:rPr>
                <w:rFonts w:ascii="Verdana" w:hAnsi="Verdana"/>
                <w:b/>
                <w:sz w:val="22"/>
                <w:szCs w:val="22"/>
                <w:lang w:val="mk-MK"/>
              </w:rPr>
              <w:t>Проценка/Проверување на знаење</w:t>
            </w:r>
          </w:p>
          <w:p w14:paraId="4496975B" w14:textId="7392AE4F" w:rsidR="00CB3026" w:rsidRPr="005D7CB8" w:rsidRDefault="004C0D34" w:rsidP="005D7CB8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D7CB8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lastRenderedPageBreak/>
              <w:t>За оваа сесија не е потребна проверка или проценка на знаењето.</w:t>
            </w:r>
          </w:p>
        </w:tc>
      </w:tr>
    </w:tbl>
    <w:p w14:paraId="15498912" w14:textId="77777777" w:rsidR="00D82C18" w:rsidRPr="005D7CB8" w:rsidRDefault="00D82C18" w:rsidP="005D7CB8">
      <w:pPr>
        <w:spacing w:before="120" w:after="120" w:line="260" w:lineRule="atLeast"/>
        <w:rPr>
          <w:rFonts w:ascii="Verdana" w:hAnsi="Verdana"/>
        </w:rPr>
      </w:pPr>
    </w:p>
    <w:sectPr w:rsidR="00D82C18" w:rsidRPr="005D7CB8" w:rsidSect="00F15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2291F" w14:textId="77777777" w:rsidR="00E52501" w:rsidRDefault="00E52501" w:rsidP="00F4488F">
      <w:r>
        <w:separator/>
      </w:r>
    </w:p>
  </w:endnote>
  <w:endnote w:type="continuationSeparator" w:id="0">
    <w:p w14:paraId="457CFA90" w14:textId="77777777" w:rsidR="00E52501" w:rsidRDefault="00E52501" w:rsidP="00F4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31A2" w14:textId="77777777" w:rsidR="00F4488F" w:rsidRDefault="00F44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87CB" w14:textId="77777777" w:rsidR="00F4488F" w:rsidRDefault="00F44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DC6D" w14:textId="77777777" w:rsidR="00F4488F" w:rsidRDefault="00F44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0025" w14:textId="77777777" w:rsidR="00E52501" w:rsidRDefault="00E52501" w:rsidP="00F4488F">
      <w:r>
        <w:separator/>
      </w:r>
    </w:p>
  </w:footnote>
  <w:footnote w:type="continuationSeparator" w:id="0">
    <w:p w14:paraId="6178C205" w14:textId="77777777" w:rsidR="00E52501" w:rsidRDefault="00E52501" w:rsidP="00F4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BB758" w14:textId="77777777" w:rsidR="00F4488F" w:rsidRDefault="00F44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B9A13" w14:textId="77777777" w:rsidR="00F4488F" w:rsidRDefault="00F44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94654" w14:textId="77777777" w:rsidR="00F4488F" w:rsidRDefault="00F44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45266B2"/>
    <w:multiLevelType w:val="hybridMultilevel"/>
    <w:tmpl w:val="F43057EC"/>
    <w:lvl w:ilvl="0" w:tplc="77BA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28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6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E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860D4"/>
    <w:multiLevelType w:val="hybridMultilevel"/>
    <w:tmpl w:val="F022C83E"/>
    <w:lvl w:ilvl="0" w:tplc="689C86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30D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20E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2B9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BED0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276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623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03D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86C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63F1"/>
    <w:multiLevelType w:val="hybridMultilevel"/>
    <w:tmpl w:val="B5AC0418"/>
    <w:lvl w:ilvl="0" w:tplc="8C82C4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E98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A0A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293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CAB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C9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2E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2E1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A0E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1F22"/>
    <w:multiLevelType w:val="hybridMultilevel"/>
    <w:tmpl w:val="19D4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183"/>
    <w:multiLevelType w:val="hybridMultilevel"/>
    <w:tmpl w:val="E03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361925C5"/>
    <w:multiLevelType w:val="hybridMultilevel"/>
    <w:tmpl w:val="4F8888E0"/>
    <w:lvl w:ilvl="0" w:tplc="9E0CC8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A5C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45F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A22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224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1692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F6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A72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2FA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058DF"/>
    <w:multiLevelType w:val="hybridMultilevel"/>
    <w:tmpl w:val="FE9681DE"/>
    <w:lvl w:ilvl="0" w:tplc="0A8AC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26929"/>
    <w:multiLevelType w:val="hybridMultilevel"/>
    <w:tmpl w:val="3D1011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B2B2F85"/>
    <w:multiLevelType w:val="hybridMultilevel"/>
    <w:tmpl w:val="5E14A50A"/>
    <w:lvl w:ilvl="0" w:tplc="02A25F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CD8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4B1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871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58A8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20E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C97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7A5C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456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5787F"/>
    <w:multiLevelType w:val="hybridMultilevel"/>
    <w:tmpl w:val="CF70B332"/>
    <w:lvl w:ilvl="0" w:tplc="FCE226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1ED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4BF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A9D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4260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409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8FB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6DE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CC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18"/>
  </w:num>
  <w:num w:numId="7">
    <w:abstractNumId w:val="6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19"/>
  </w:num>
  <w:num w:numId="18">
    <w:abstractNumId w:val="17"/>
  </w:num>
  <w:num w:numId="19">
    <w:abstractNumId w:val="8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18"/>
    <w:rsid w:val="0000256C"/>
    <w:rsid w:val="00051376"/>
    <w:rsid w:val="000C40EE"/>
    <w:rsid w:val="000D0409"/>
    <w:rsid w:val="000F04E4"/>
    <w:rsid w:val="000F7896"/>
    <w:rsid w:val="00161FE6"/>
    <w:rsid w:val="001D603D"/>
    <w:rsid w:val="001E7389"/>
    <w:rsid w:val="00271010"/>
    <w:rsid w:val="002738BB"/>
    <w:rsid w:val="002D52FC"/>
    <w:rsid w:val="002E3ECE"/>
    <w:rsid w:val="002F3B54"/>
    <w:rsid w:val="00314D32"/>
    <w:rsid w:val="00334BD0"/>
    <w:rsid w:val="0034224C"/>
    <w:rsid w:val="00342639"/>
    <w:rsid w:val="003453F7"/>
    <w:rsid w:val="00354496"/>
    <w:rsid w:val="003630ED"/>
    <w:rsid w:val="003A435F"/>
    <w:rsid w:val="003E2876"/>
    <w:rsid w:val="003F6587"/>
    <w:rsid w:val="00411722"/>
    <w:rsid w:val="00437AF3"/>
    <w:rsid w:val="00450007"/>
    <w:rsid w:val="0045630D"/>
    <w:rsid w:val="00457DD3"/>
    <w:rsid w:val="00473D36"/>
    <w:rsid w:val="00482B64"/>
    <w:rsid w:val="00487263"/>
    <w:rsid w:val="004A3BD7"/>
    <w:rsid w:val="004B3289"/>
    <w:rsid w:val="004B7351"/>
    <w:rsid w:val="004C0D34"/>
    <w:rsid w:val="00514FE0"/>
    <w:rsid w:val="00523B79"/>
    <w:rsid w:val="00556D69"/>
    <w:rsid w:val="005703B7"/>
    <w:rsid w:val="005A4E47"/>
    <w:rsid w:val="005A54C9"/>
    <w:rsid w:val="005C01D1"/>
    <w:rsid w:val="005D2065"/>
    <w:rsid w:val="005D4432"/>
    <w:rsid w:val="005D7CB8"/>
    <w:rsid w:val="0062475C"/>
    <w:rsid w:val="00637AFB"/>
    <w:rsid w:val="00645E05"/>
    <w:rsid w:val="006527C6"/>
    <w:rsid w:val="00671ADF"/>
    <w:rsid w:val="00680264"/>
    <w:rsid w:val="00697151"/>
    <w:rsid w:val="006B0B52"/>
    <w:rsid w:val="006E00B9"/>
    <w:rsid w:val="006F06F9"/>
    <w:rsid w:val="0072190A"/>
    <w:rsid w:val="0073783C"/>
    <w:rsid w:val="007442FA"/>
    <w:rsid w:val="0075334E"/>
    <w:rsid w:val="00756CCA"/>
    <w:rsid w:val="007678A6"/>
    <w:rsid w:val="007B1154"/>
    <w:rsid w:val="007E31CB"/>
    <w:rsid w:val="007E3B3E"/>
    <w:rsid w:val="007F4E03"/>
    <w:rsid w:val="0081797A"/>
    <w:rsid w:val="0084446A"/>
    <w:rsid w:val="00844FBF"/>
    <w:rsid w:val="008817F1"/>
    <w:rsid w:val="00881F77"/>
    <w:rsid w:val="008A4C93"/>
    <w:rsid w:val="008C3900"/>
    <w:rsid w:val="008C59DC"/>
    <w:rsid w:val="008E3FE7"/>
    <w:rsid w:val="009054B7"/>
    <w:rsid w:val="00906F18"/>
    <w:rsid w:val="0095051C"/>
    <w:rsid w:val="00951791"/>
    <w:rsid w:val="00975170"/>
    <w:rsid w:val="009B4375"/>
    <w:rsid w:val="009D1DB1"/>
    <w:rsid w:val="009D4199"/>
    <w:rsid w:val="009E1A27"/>
    <w:rsid w:val="009E3827"/>
    <w:rsid w:val="009F336B"/>
    <w:rsid w:val="00A03CF0"/>
    <w:rsid w:val="00A16E57"/>
    <w:rsid w:val="00A342ED"/>
    <w:rsid w:val="00A4110D"/>
    <w:rsid w:val="00A439ED"/>
    <w:rsid w:val="00A55067"/>
    <w:rsid w:val="00A734A5"/>
    <w:rsid w:val="00A76996"/>
    <w:rsid w:val="00A94D8B"/>
    <w:rsid w:val="00AA5742"/>
    <w:rsid w:val="00AC1380"/>
    <w:rsid w:val="00AC45A8"/>
    <w:rsid w:val="00AD7035"/>
    <w:rsid w:val="00AF1106"/>
    <w:rsid w:val="00B04264"/>
    <w:rsid w:val="00B06BBA"/>
    <w:rsid w:val="00B3608C"/>
    <w:rsid w:val="00BA7368"/>
    <w:rsid w:val="00C02E61"/>
    <w:rsid w:val="00C115FC"/>
    <w:rsid w:val="00C20561"/>
    <w:rsid w:val="00C45A81"/>
    <w:rsid w:val="00C541A2"/>
    <w:rsid w:val="00C70C5C"/>
    <w:rsid w:val="00C71591"/>
    <w:rsid w:val="00CA7AE4"/>
    <w:rsid w:val="00CB02C4"/>
    <w:rsid w:val="00CB3026"/>
    <w:rsid w:val="00CB708C"/>
    <w:rsid w:val="00CC1F79"/>
    <w:rsid w:val="00CD37F4"/>
    <w:rsid w:val="00CE67EA"/>
    <w:rsid w:val="00D01990"/>
    <w:rsid w:val="00D429DB"/>
    <w:rsid w:val="00D57822"/>
    <w:rsid w:val="00D669F8"/>
    <w:rsid w:val="00D82C18"/>
    <w:rsid w:val="00D92E47"/>
    <w:rsid w:val="00E13BE7"/>
    <w:rsid w:val="00E243AE"/>
    <w:rsid w:val="00E31F52"/>
    <w:rsid w:val="00E52501"/>
    <w:rsid w:val="00E65992"/>
    <w:rsid w:val="00E7344B"/>
    <w:rsid w:val="00E95703"/>
    <w:rsid w:val="00EB21C2"/>
    <w:rsid w:val="00EC7406"/>
    <w:rsid w:val="00F1574D"/>
    <w:rsid w:val="00F25459"/>
    <w:rsid w:val="00F4488F"/>
    <w:rsid w:val="00F504D6"/>
    <w:rsid w:val="00F62A15"/>
    <w:rsid w:val="00F955B5"/>
    <w:rsid w:val="00FA5D5D"/>
    <w:rsid w:val="00FB24E8"/>
    <w:rsid w:val="00FB6DE5"/>
    <w:rsid w:val="00FE45CA"/>
    <w:rsid w:val="00FE4BFE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30"/>
  <w15:docId w15:val="{F20326E9-F316-4B3A-9582-EFEC2E1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88F"/>
  </w:style>
  <w:style w:type="paragraph" w:styleId="Footer">
    <w:name w:val="footer"/>
    <w:basedOn w:val="Normal"/>
    <w:link w:val="FooterChar"/>
    <w:uiPriority w:val="99"/>
    <w:unhideWhenUsed/>
    <w:rsid w:val="00F44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2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0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8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9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CEAUSU Diana</cp:lastModifiedBy>
  <cp:revision>3</cp:revision>
  <dcterms:created xsi:type="dcterms:W3CDTF">2021-05-07T14:03:00Z</dcterms:created>
  <dcterms:modified xsi:type="dcterms:W3CDTF">2021-05-10T08:23:00Z</dcterms:modified>
</cp:coreProperties>
</file>