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0B89" w:rsidRPr="00111E16" w:rsidP="0023010F" w14:paraId="7DC673E4" w14:textId="77777777">
      <w:pPr>
        <w:bidi w:val="0"/>
        <w:spacing w:after="0"/>
        <w:jc w:val="center"/>
        <w:rPr>
          <w:rFonts w:ascii="Times New Roman" w:hAnsi="Times New Roman" w:cs="Times New Roman"/>
          <w:b/>
        </w:rPr>
      </w:pPr>
      <w:r>
        <w:rPr>
          <w:rFonts w:ascii="Times New Roman" w:hAnsi="Times New Roman" w:cs="Times New Roman"/>
          <w:b/>
          <w:rtl w:val="0"/>
          <w:lang w:val="tr"/>
        </w:rPr>
        <w:t>SİBER SUÇ VAKA ÇALIŞMASI</w:t>
      </w:r>
    </w:p>
    <w:p w:rsidR="00111E16" w:rsidRPr="00A86670" w:rsidP="00111E16" w14:paraId="70DC5E5D" w14:textId="77777777">
      <w:pPr>
        <w:bidi w:val="0"/>
        <w:jc w:val="both"/>
        <w:rPr>
          <w:rFonts w:ascii="Times New Roman" w:hAnsi="Times New Roman" w:cs="Times New Roman"/>
          <w:b/>
          <w:bCs/>
        </w:rPr>
      </w:pPr>
      <w:r w:rsidRPr="00A86670">
        <w:rPr>
          <w:rFonts w:ascii="Times New Roman" w:hAnsi="Times New Roman" w:cs="Times New Roman"/>
          <w:b/>
          <w:bCs/>
          <w:rtl w:val="0"/>
          <w:lang w:val="tr"/>
        </w:rPr>
        <w:t>Gerçekler:</w:t>
      </w:r>
    </w:p>
    <w:p w:rsidR="00111E16" w:rsidRPr="00111E16" w:rsidP="00111E16" w14:paraId="511D0F8B" w14:textId="77777777">
      <w:pPr>
        <w:bidi w:val="0"/>
        <w:jc w:val="both"/>
        <w:rPr>
          <w:rFonts w:ascii="Times New Roman" w:hAnsi="Times New Roman" w:cs="Times New Roman"/>
          <w:b/>
          <w:i/>
        </w:rPr>
      </w:pPr>
      <w:r w:rsidRPr="00111E16">
        <w:rPr>
          <w:rFonts w:ascii="Times New Roman" w:hAnsi="Times New Roman" w:cs="Times New Roman"/>
          <w:b/>
          <w:i/>
          <w:rtl w:val="0"/>
          <w:lang w:val="tr"/>
        </w:rPr>
        <w:t>Arka plan:</w:t>
      </w:r>
    </w:p>
    <w:p w:rsidR="00111E16" w:rsidP="00111E16" w14:paraId="62EA27C7"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 xml:space="preserve">Gondor, Asya'da gelişmekte olan bir ülkedir ve Rohan'ın komşusudur.  Gondor, DTÖ, BM ve İngiliz Milletler Topluluğu üyesidir.  Gondor, geleneksel olarak bölgede ve uluslararası alanda bankacılık ve finans endüstrisinin gelişen bir merkezi olmuştur.  Gondor'un yeni denizaltı fiber optik kablosu (Gondor'un Rohan gibi komşu ülkelere sağladığı bağlantılar) sayesinde, Gondor'un internet bant genişliği artmıştır.  Bu, Gondor'da yerel müşteriler ve yabancı hesap sahipleri için hem bilgisayar hem de mobil cihazlar üzerinden yüksek hızlı 3G internet bağlantıları kullanarak yapılan internet bankacılığı ve elektronik ödemeler gibi yeniliklere yol açmıştır.  Gondor'daki en büyük bankalardan biri olan Gondor Ulusal Bankası ("GNB"), IP kullanarak mobil ödemeler sağlamak için Gondor'daki Cellco/cep telefonu servis sağlayıcısı GonTel ile güçlerini birleştirmiştir.  </w:t>
      </w:r>
    </w:p>
    <w:p w:rsidR="00111E16" w:rsidRPr="00111E16" w:rsidP="00111E16" w14:paraId="4C04E6CB" w14:textId="77777777">
      <w:pPr>
        <w:bidi w:val="0"/>
        <w:spacing w:before="100" w:beforeAutospacing="1" w:after="100" w:afterAutospacing="1" w:line="240" w:lineRule="auto"/>
        <w:jc w:val="both"/>
        <w:rPr>
          <w:rFonts w:ascii="Times New Roman" w:hAnsi="Times New Roman" w:cs="Times New Roman"/>
          <w:b/>
          <w:i/>
        </w:rPr>
      </w:pPr>
      <w:r w:rsidRPr="00111E16">
        <w:rPr>
          <w:rFonts w:ascii="Times New Roman" w:hAnsi="Times New Roman" w:cs="Times New Roman"/>
          <w:b/>
          <w:i/>
          <w:rtl w:val="0"/>
          <w:lang w:val="tr"/>
        </w:rPr>
        <w:t>Vaka:</w:t>
      </w:r>
    </w:p>
    <w:p w:rsidR="00111E16" w:rsidRPr="00111E16" w:rsidP="00111E16" w14:paraId="7316C9FE"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 xml:space="preserve">GNB ve Gontel, yakın zamanda, GNB veya Gontel'in ticari markalarını ve logolarını kullanıp onlardan gelen e-postalar süsü verilen, sahte web sitelerinden gelen kimlik avı e-postaları tespit etmiştir.  Bu e-postalar, alıcılara hesaplarının güvenlik nedeniyle sıfırlandığını ve hesaplarına erişimi sürdürmek için hesaplarının kimliğini doğrulamak amacıyla e-postada verilen bağlantılara tıklamaları gerektiğini bildirmektedir.  Bağlantılar orijinal GNB ve/veya Gontel web sitesi adresleri (alan adları) gibi görünmektedir, ancak alıcıları farklı bir web sitesine yönlendirmekte veya alıcıları GNB ve/veya Gontel'inkine benzer (sahte) bir alan adına veya farklı bir alan adının ikinci veya üçüncü seviyesinde gizlenmiş bir web sitesine yönlendirmektedir.  Web siteleri aynı GNB ve/veya Gontel web siteleri gibi görünmektedir.  Bu web sitelerine girdiklerinde, alıcılardan hesap ayrıntılarını ve daha sonra hesaplarına yasa dışı olarak erişmek ve para çekmek için kullanılan diğer kişisel olarak tanımlanabilir bilgileri (hesap numaraları, müşteri kimlikleri, şifreler ve diğer güvenlik bilgileri dahil) girmeleri istenmektedir.  </w:t>
      </w:r>
    </w:p>
    <w:p w:rsidR="00111E16" w:rsidRPr="00111E16" w:rsidP="00111E16" w14:paraId="4C5003B8"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İlk soruşturmalar, IP izlerinin Rohan kaynaklı olduğunu göstermektedir ve gönderenlerin, kimlik avı saldırılarını kolaylaştırmak ve alan adlarının kökenlerini maskelemek ve ayrıca gönderenin e-posta adreslerini taklit etmek için hızlı akış kullandığı görülmektedir.   Bu siber suç saldırılarının arkasında Rohan hükümetinin olabileceğinden şüphelenilmektedir.  Rohan Emniyet Teşkilatı, karşılıklı adli yardım taleplerine yanıt olarak egemenlik ve güvenlik gerekçesiyle iş birliği yapmayı reddetmiştir.  Ancak, e-postaların asıl kaynağını belirlemenin tek yolu, Rohan'ın Bilgi Güvenliği ve Gizliliği servisinden (BGG) ve söz konusu alan adlarını kaydeden yetkililerden yardım istemektir.</w:t>
      </w:r>
    </w:p>
    <w:p w:rsidR="00111E16" w:rsidRPr="00111E16" w:rsidP="00111E16" w14:paraId="34AB79CB"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Diğer yabancı kolluk kuvvetleri ve düzenleyicilerle yapılan soruşturmalar ve tartışmalar, bu tür e-postaların tecrübeli suçlular tarafından gönderildiğini ve bunların devlet aktörleri veya tecrübeli organize suç örgütlerinin üyeleri olabileceklerine işaret etmektedir.  Zaman zaman bu tür suçlardan elde edilen gelirler, döviz ve sınır ötesi transferlerin yasa dışı aktarımını kolaylaştırmak için kullanılmakta ve böylece kara para aklama operasyonlarına ve diğer ciddi suçlara destek verilmektedir.</w:t>
      </w:r>
    </w:p>
    <w:p w:rsidR="00111E16" w:rsidRPr="00111E16" w:rsidP="00111E16" w14:paraId="316C3351"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Gondor'un belirli siber suçlar veya usule ilişkin yetkiler sağlayan herhangi bir siber suç mevzuatı yoktur ve soruşturmayı sürdürmek için ceza kanununda geleneksel dolandırıcılık ve mali suç kusurlarını incelemektedir.</w:t>
      </w:r>
    </w:p>
    <w:p w:rsidR="00111E16" w:rsidRPr="00111E16" w:rsidP="00111E16" w14:paraId="1EF98AB6"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Gondor, Hükümete hesap vermeyen bağımsız bir Telekomünikasyon Düzenleyicisine sahiptir, ancak İnternet Yönetişimi ve Politikası onun kapsamı dışındadır.  İnternet Politikası Bakanlığı, İnternet ile ilgili konularla ilgilenmektedir.  Adalet Bakanlığı kolluk kuvvetleriyle ilgilenmektedir.  Bankacılık düzenlemesi münhasıran güçlü ve bağımsız Gondor Devlet Bankası tarafından yürütülmektedir.</w:t>
      </w:r>
    </w:p>
    <w:p w:rsidR="00111E16" w:rsidRPr="00111E16" w:rsidP="00111E16" w14:paraId="664B2B40"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Siz, Gondor Hükümetinin İnternet Yönetişimi ve Siber Suçlar konusundaki Hukuk/Politika Danışmanısınız.</w:t>
      </w:r>
    </w:p>
    <w:p w:rsidR="00111E16" w:rsidRPr="00111E16" w:rsidP="00111E16" w14:paraId="6CC72CDC" w14:textId="77777777">
      <w:p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Gondor Hükümeti sizden bu sorunu çözmek için seçenekler önermenizi istemiştir.  Hükümetin sizden değerlendirmenizi istediği seçeneklerden bazıları şunlardır:</w:t>
      </w:r>
    </w:p>
    <w:p w:rsidR="00111E16" w:rsidRPr="00111E16" w:rsidP="00111E16" w14:paraId="3010E25E" w14:textId="77777777">
      <w:pPr>
        <w:pStyle w:val="ListParagraph"/>
        <w:numPr>
          <w:ilvl w:val="0"/>
          <w:numId w:val="6"/>
        </w:num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Alan adlarının ve/veya IP adreslerinin engellenmesi</w:t>
      </w:r>
    </w:p>
    <w:p w:rsidR="00111E16" w:rsidRPr="00111E16" w:rsidP="00111E16" w14:paraId="12C9001A" w14:textId="77777777">
      <w:pPr>
        <w:pStyle w:val="ListParagraph"/>
        <w:numPr>
          <w:ilvl w:val="0"/>
          <w:numId w:val="6"/>
        </w:num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Rohan'dan gelen tüm e-postaların ve web sitelerinin engellenmesi</w:t>
      </w:r>
    </w:p>
    <w:p w:rsidR="00111E16" w:rsidRPr="00111E16" w:rsidP="00111E16" w14:paraId="441591A7" w14:textId="77777777">
      <w:pPr>
        <w:pStyle w:val="ListParagraph"/>
        <w:numPr>
          <w:ilvl w:val="0"/>
          <w:numId w:val="6"/>
        </w:num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Destek almak için doğrudan Rohan BGG servisiyle iletişime geçilmesi</w:t>
      </w:r>
    </w:p>
    <w:p w:rsidR="00111E16" w:rsidRPr="00111E16" w:rsidP="00111E16" w14:paraId="0A8193F4" w14:textId="77777777">
      <w:pPr>
        <w:pStyle w:val="ListParagraph"/>
        <w:numPr>
          <w:ilvl w:val="0"/>
          <w:numId w:val="6"/>
        </w:num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Interpol ile iletişime geçilmesi</w:t>
      </w:r>
    </w:p>
    <w:p w:rsidR="00111E16" w:rsidRPr="00111E16" w:rsidP="00111E16" w14:paraId="2815BAC7" w14:textId="77777777">
      <w:pPr>
        <w:pStyle w:val="ListParagraph"/>
        <w:numPr>
          <w:ilvl w:val="0"/>
          <w:numId w:val="6"/>
        </w:num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Rohan'ın Gondor'un denizaltı kablosuyla bağlantısının engellenmesi</w:t>
      </w:r>
    </w:p>
    <w:p w:rsidR="00111E16" w:rsidRPr="00111E16" w:rsidP="00111E16" w14:paraId="64AB348A" w14:textId="77777777">
      <w:pPr>
        <w:pStyle w:val="ListParagraph"/>
        <w:numPr>
          <w:ilvl w:val="0"/>
          <w:numId w:val="6"/>
        </w:num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Saldırıların, Rohan tarafından gerçekleştirilen bir siber terörizm olarak ilan edilmesi ve konunun BM'ye taşınması</w:t>
      </w:r>
    </w:p>
    <w:p w:rsidR="00111E16" w:rsidRPr="00111E16" w:rsidP="00111E16" w14:paraId="170B8094" w14:textId="77777777">
      <w:pPr>
        <w:pStyle w:val="ListParagraph"/>
        <w:numPr>
          <w:ilvl w:val="0"/>
          <w:numId w:val="6"/>
        </w:numPr>
        <w:bidi w:val="0"/>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tl w:val="0"/>
          <w:lang w:val="tr"/>
        </w:rPr>
        <w:t>Yalnızca trafik verilerinin değil aynı zamanda içerik verilerinin de gerçek zamanlı gözetim ve izlemesinin yapılması</w:t>
      </w:r>
    </w:p>
    <w:p w:rsidR="000D5688" w:rsidP="00111E16" w14:paraId="2F507D91" w14:textId="77777777">
      <w:pPr>
        <w:jc w:val="both"/>
        <w:rPr>
          <w:rFonts w:ascii="Times New Roman" w:hAnsi="Times New Roman" w:cs="Times New Roman"/>
          <w:b/>
        </w:rPr>
      </w:pPr>
    </w:p>
    <w:p w:rsidR="00111E16" w:rsidRPr="00284848" w:rsidP="00284848" w14:paraId="62C18B4E" w14:textId="2D5CC3C0">
      <w:pPr>
        <w:bidi w:val="0"/>
        <w:jc w:val="both"/>
        <w:rPr>
          <w:rFonts w:ascii="Times New Roman" w:hAnsi="Times New Roman" w:cs="Times New Roman"/>
          <w:b/>
          <w:lang w:val="en-US"/>
        </w:rPr>
      </w:pPr>
      <w:r w:rsidRPr="00111E16">
        <w:rPr>
          <w:rFonts w:ascii="Times New Roman" w:hAnsi="Times New Roman" w:cs="Times New Roman"/>
          <w:b/>
          <w:rtl w:val="0"/>
          <w:lang w:val="tr"/>
        </w:rPr>
        <w:t>En iyi uygulama bağlamında tartışılacak sorular</w:t>
      </w:r>
    </w:p>
    <w:p w:rsidR="00111E16" w:rsidRPr="00111E16" w:rsidP="00111E16" w14:paraId="360A1DEE" w14:textId="77777777">
      <w:pPr>
        <w:bidi w:val="0"/>
        <w:spacing w:before="100" w:beforeAutospacing="1" w:after="100" w:afterAutospacing="1" w:line="240" w:lineRule="auto"/>
        <w:jc w:val="both"/>
        <w:rPr>
          <w:rFonts w:ascii="Times New Roman" w:hAnsi="Times New Roman" w:cs="Times New Roman"/>
          <w:b/>
          <w:i/>
        </w:rPr>
      </w:pPr>
      <w:r w:rsidRPr="00111E16">
        <w:rPr>
          <w:rFonts w:ascii="Times New Roman" w:hAnsi="Times New Roman" w:cs="Times New Roman"/>
          <w:b/>
          <w:i/>
          <w:rtl w:val="0"/>
          <w:lang w:val="tr"/>
        </w:rPr>
        <w:t>Siber Suç</w:t>
      </w:r>
    </w:p>
    <w:p w:rsidR="00111E16" w:rsidRPr="00111E16" w:rsidP="00111E16" w14:paraId="3D2B1132"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tl w:val="0"/>
          <w:lang w:val="tr"/>
        </w:rPr>
        <w:t>Bu vakada hangi suçlar işlenmiştir?</w:t>
      </w:r>
    </w:p>
    <w:p w:rsidR="00111E16" w:rsidRPr="00111E16" w:rsidP="00111E16" w14:paraId="383F8DEC"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tl w:val="0"/>
          <w:lang w:val="tr"/>
        </w:rPr>
        <w:t>Gondor, Rohan ve diğer iş birliği yapan ülkelerdeki suç tanımlarının benzer olması ve suç kapsamına alınması yardımcı olur mu?</w:t>
      </w:r>
    </w:p>
    <w:p w:rsidR="00111E16" w:rsidRPr="00111E16" w:rsidP="00111E16" w14:paraId="793459A4"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tl w:val="0"/>
          <w:lang w:val="tr"/>
        </w:rPr>
        <w:t>Gondor, siber suç mevzuatının devreye sokulması için hangi modellere bakabilir?</w:t>
      </w:r>
    </w:p>
    <w:p w:rsidR="00111E16" w:rsidRPr="00111E16" w:rsidP="00111E16" w14:paraId="685FF0A5"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Pr>
          <w:rFonts w:ascii="Times New Roman" w:hAnsi="Times New Roman" w:cs="Times New Roman"/>
          <w:rtl w:val="0"/>
          <w:lang w:val="tr"/>
        </w:rPr>
        <w:t>Gondor, Rohan'ın uluslararası hukuk uyarınca iş birliği taleplerine yanıt vermek zorunda olmasını nasıl sağlayabilir?</w:t>
      </w:r>
    </w:p>
    <w:p w:rsidR="00111E16" w:rsidRPr="00111E16" w:rsidP="00111E16" w14:paraId="439FE4C0"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tl w:val="0"/>
          <w:lang w:val="tr"/>
        </w:rPr>
        <w:t>Gondor, Rohan'ın BGG servisiyle doğrudan iletişim kurabilmeli ve onlardan bilgi ve yardım alabilmeli midir?</w:t>
      </w:r>
    </w:p>
    <w:p w:rsidR="00111E16" w:rsidRPr="00111E16" w:rsidP="00111E16" w14:paraId="6817686C"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tl w:val="0"/>
          <w:lang w:val="tr"/>
        </w:rPr>
        <w:t>Gondor Interpol'den yardım isteyebilmeli midir?</w:t>
      </w:r>
    </w:p>
    <w:p w:rsidR="00111E16" w:rsidRPr="00111E16" w:rsidP="00111E16" w14:paraId="650DECCC"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tl w:val="0"/>
          <w:lang w:val="tr"/>
        </w:rPr>
        <w:t>Kara Para Aklama ile bağlantılı siber suçlar konusunda BM nasıl bir rol oynayabilir?</w:t>
      </w:r>
    </w:p>
    <w:p w:rsidR="004D6A52" w14:paraId="1EFAC757" w14:textId="77777777">
      <w:pPr>
        <w:pStyle w:val="ListParagraph"/>
        <w:numPr>
          <w:ilvl w:val="0"/>
          <w:numId w:val="9"/>
        </w:numPr>
        <w:bidi w:val="0"/>
        <w:spacing w:before="100" w:beforeAutospacing="1" w:after="100" w:afterAutospacing="1" w:line="360" w:lineRule="auto"/>
        <w:jc w:val="both"/>
        <w:rPr>
          <w:rFonts w:ascii="Times New Roman" w:hAnsi="Times New Roman" w:cs="Times New Roman"/>
        </w:rPr>
      </w:pPr>
      <w:r>
        <w:rPr>
          <w:rFonts w:ascii="Times New Roman" w:hAnsi="Times New Roman" w:cs="Times New Roman"/>
          <w:rtl w:val="0"/>
          <w:lang w:val="tr"/>
        </w:rPr>
        <w:t>Uluslararası Telekomünikasyon Birliği (ITU) ne gibi yardımlar sağlayabilir?</w:t>
      </w:r>
    </w:p>
    <w:p w:rsidR="00FA1BC6" w:rsidP="00111E16" w14:paraId="15BE13FF" w14:textId="77777777">
      <w:pPr>
        <w:pStyle w:val="ListParagraph"/>
        <w:numPr>
          <w:ilvl w:val="0"/>
          <w:numId w:val="9"/>
        </w:numPr>
        <w:bidi w:val="0"/>
        <w:spacing w:before="100" w:beforeAutospacing="1" w:after="100" w:afterAutospacing="1" w:line="240" w:lineRule="auto"/>
        <w:jc w:val="both"/>
        <w:rPr>
          <w:rFonts w:ascii="Times New Roman" w:hAnsi="Times New Roman" w:cs="Times New Roman"/>
        </w:rPr>
      </w:pPr>
      <w:r w:rsidRPr="000D5688">
        <w:rPr>
          <w:rFonts w:ascii="Times New Roman" w:hAnsi="Times New Roman" w:cs="Times New Roman"/>
          <w:rtl w:val="0"/>
          <w:lang w:val="tr"/>
        </w:rPr>
        <w:t xml:space="preserve">Milletler Topluluğu, özellikle bu vakada ne gibi çözümler sağlayabilir? </w:t>
      </w:r>
    </w:p>
    <w:p w:rsidR="004823D6" w:rsidRPr="004823D6" w:rsidP="004823D6" w14:paraId="21A98DD2" w14:textId="77777777">
      <w:pPr>
        <w:pStyle w:val="ListParagraph"/>
        <w:spacing w:before="100" w:beforeAutospacing="1" w:after="100" w:afterAutospacing="1" w:line="240" w:lineRule="auto"/>
        <w:jc w:val="both"/>
        <w:rPr>
          <w:rFonts w:ascii="Times New Roman" w:hAnsi="Times New Roman" w:cs="Times New Roman"/>
          <w:sz w:val="12"/>
        </w:rPr>
      </w:pPr>
    </w:p>
    <w:p w:rsidR="004823D6" w:rsidP="004823D6" w14:paraId="2D0E2DEE" w14:textId="15B6D22C">
      <w:pPr>
        <w:pStyle w:val="ListParagraph"/>
        <w:numPr>
          <w:ilvl w:val="0"/>
          <w:numId w:val="9"/>
        </w:numPr>
        <w:bidi w:val="0"/>
        <w:spacing w:before="100" w:beforeAutospacing="1" w:after="100" w:afterAutospacing="1" w:line="240" w:lineRule="auto"/>
        <w:jc w:val="both"/>
        <w:rPr>
          <w:rFonts w:ascii="Times New Roman" w:hAnsi="Times New Roman" w:cs="Times New Roman"/>
        </w:rPr>
      </w:pPr>
      <w:r w:rsidRPr="000D5688">
        <w:rPr>
          <w:rFonts w:ascii="Times New Roman" w:hAnsi="Times New Roman" w:cs="Times New Roman"/>
          <w:rtl w:val="0"/>
          <w:lang w:val="tr"/>
        </w:rPr>
        <w:t xml:space="preserve">Budapeşte Sözleşmesi, özellikle bu vakada ne gibi çözümler sağlayabilir? </w:t>
      </w:r>
    </w:p>
    <w:p w:rsidR="004823D6" w:rsidRPr="000D5688" w:rsidP="004823D6" w14:paraId="5011D04F" w14:textId="77777777">
      <w:pPr>
        <w:pStyle w:val="ListParagraph"/>
        <w:spacing w:before="100" w:beforeAutospacing="1" w:after="100" w:afterAutospacing="1" w:line="240" w:lineRule="auto"/>
        <w:jc w:val="both"/>
        <w:rPr>
          <w:rFonts w:ascii="Times New Roman" w:hAnsi="Times New Roman" w:cs="Times New Roman"/>
        </w:rPr>
      </w:pPr>
    </w:p>
    <w:sectPr w:rsidSect="002949EC">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074177"/>
      <w:docPartObj>
        <w:docPartGallery w:val="Page Numbers (Bottom of Page)"/>
        <w:docPartUnique/>
      </w:docPartObj>
    </w:sdtPr>
    <w:sdtContent>
      <w:sdt>
        <w:sdtPr>
          <w:id w:val="565050477"/>
          <w:docPartObj>
            <w:docPartGallery w:val="Page Numbers (Top of Page)"/>
            <w:docPartUnique/>
          </w:docPartObj>
        </w:sdtPr>
        <w:sdtContent>
          <w:p w:rsidR="000A2F64" w14:paraId="0C6DBD77" w14:textId="77777777">
            <w:pPr>
              <w:pStyle w:val="Footer"/>
              <w:bidi w:val="0"/>
              <w:jc w:val="center"/>
            </w:pPr>
            <w:r>
              <w:rPr>
                <w:rtl w:val="0"/>
                <w:lang w:val="tr"/>
              </w:rPr>
              <w:t xml:space="preserve">Sayfa </w:t>
            </w:r>
            <w:r>
              <w:rPr>
                <w:b/>
                <w:sz w:val="24"/>
                <w:szCs w:val="24"/>
              </w:rPr>
              <w:fldChar w:fldCharType="begin"/>
            </w:r>
            <w:r>
              <w:rPr>
                <w:b/>
                <w:rtl w:val="0"/>
                <w:lang w:val="tr"/>
              </w:rPr>
              <w:instrText xml:space="preserve"> PAGE </w:instrText>
            </w:r>
            <w:r>
              <w:rPr>
                <w:b/>
                <w:sz w:val="24"/>
                <w:szCs w:val="24"/>
              </w:rPr>
              <w:fldChar w:fldCharType="separate"/>
            </w:r>
            <w:r>
              <w:rPr>
                <w:b/>
                <w:rtl w:val="0"/>
                <w:lang w:val="tr"/>
              </w:rPr>
              <w:t>2</w:t>
            </w:r>
            <w:r>
              <w:rPr>
                <w:b/>
                <w:sz w:val="24"/>
                <w:szCs w:val="24"/>
              </w:rPr>
              <w:fldChar w:fldCharType="end"/>
            </w:r>
            <w:r>
              <w:rPr>
                <w:rtl w:val="0"/>
                <w:lang w:val="tr"/>
              </w:rPr>
              <w:t xml:space="preserve"> </w:t>
            </w:r>
            <w:r>
              <w:rPr>
                <w:b/>
                <w:sz w:val="24"/>
                <w:szCs w:val="24"/>
              </w:rPr>
              <w:fldChar w:fldCharType="begin"/>
            </w:r>
            <w:r>
              <w:rPr>
                <w:b/>
                <w:rtl w:val="0"/>
                <w:lang w:val="tr"/>
              </w:rPr>
              <w:instrText xml:space="preserve"> NUMPAGES  </w:instrText>
            </w:r>
            <w:r>
              <w:rPr>
                <w:b/>
                <w:sz w:val="24"/>
                <w:szCs w:val="24"/>
              </w:rPr>
              <w:fldChar w:fldCharType="separate"/>
            </w:r>
            <w:r>
              <w:rPr>
                <w:b/>
                <w:rtl w:val="0"/>
                <w:lang w:val="tr"/>
              </w:rPr>
              <w:t>2</w:t>
            </w:r>
            <w:r>
              <w:rPr>
                <w:b/>
                <w:sz w:val="24"/>
                <w:szCs w:val="24"/>
              </w:rPr>
              <w:fldChar w:fldCharType="end"/>
            </w:r>
          </w:p>
        </w:sdtContent>
      </w:sdt>
    </w:sdtContent>
  </w:sdt>
  <w:p w:rsidR="000A2F64" w14:paraId="690A2F9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BB1BD3"/>
    <w:multiLevelType w:val="hybridMultilevel"/>
    <w:tmpl w:val="271221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CE29D0"/>
    <w:multiLevelType w:val="hybridMultilevel"/>
    <w:tmpl w:val="942495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221AE6"/>
    <w:multiLevelType w:val="hybridMultilevel"/>
    <w:tmpl w:val="4FFA9F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7A4DA7"/>
    <w:multiLevelType w:val="hybridMultilevel"/>
    <w:tmpl w:val="A6466E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A559C6"/>
    <w:multiLevelType w:val="hybridMultilevel"/>
    <w:tmpl w:val="DBF2922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F392FAE"/>
    <w:multiLevelType w:val="hybridMultilevel"/>
    <w:tmpl w:val="9F503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4FE75D4"/>
    <w:multiLevelType w:val="hybridMultilevel"/>
    <w:tmpl w:val="54E070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92E2A02"/>
    <w:multiLevelType w:val="hybridMultilevel"/>
    <w:tmpl w:val="A66CF3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E02555"/>
    <w:multiLevelType w:val="hybridMultilevel"/>
    <w:tmpl w:val="C24C5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6"/>
  </w:num>
  <w:num w:numId="5">
    <w:abstractNumId w:val="5"/>
  </w:num>
  <w:num w:numId="6">
    <w:abstractNumId w:val="1"/>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C0"/>
    <w:rsid w:val="00001667"/>
    <w:rsid w:val="00017E8C"/>
    <w:rsid w:val="00053109"/>
    <w:rsid w:val="00053B7D"/>
    <w:rsid w:val="000A2F64"/>
    <w:rsid w:val="000B5C13"/>
    <w:rsid w:val="000D5688"/>
    <w:rsid w:val="000E5001"/>
    <w:rsid w:val="000F5FD3"/>
    <w:rsid w:val="000F6836"/>
    <w:rsid w:val="00110A80"/>
    <w:rsid w:val="00111E16"/>
    <w:rsid w:val="00112695"/>
    <w:rsid w:val="001264FF"/>
    <w:rsid w:val="001440E8"/>
    <w:rsid w:val="0016310A"/>
    <w:rsid w:val="001A4703"/>
    <w:rsid w:val="001A593B"/>
    <w:rsid w:val="001B616A"/>
    <w:rsid w:val="001D2960"/>
    <w:rsid w:val="001E7B64"/>
    <w:rsid w:val="00203A03"/>
    <w:rsid w:val="00206388"/>
    <w:rsid w:val="00206C58"/>
    <w:rsid w:val="0022514C"/>
    <w:rsid w:val="0023010F"/>
    <w:rsid w:val="00240E9D"/>
    <w:rsid w:val="00244C3B"/>
    <w:rsid w:val="00276D80"/>
    <w:rsid w:val="00284848"/>
    <w:rsid w:val="002949EC"/>
    <w:rsid w:val="002F672A"/>
    <w:rsid w:val="00332609"/>
    <w:rsid w:val="0039170A"/>
    <w:rsid w:val="003A235B"/>
    <w:rsid w:val="003A49A8"/>
    <w:rsid w:val="003A6CD4"/>
    <w:rsid w:val="003B130D"/>
    <w:rsid w:val="003B7CD3"/>
    <w:rsid w:val="003C1470"/>
    <w:rsid w:val="004069F9"/>
    <w:rsid w:val="00411B65"/>
    <w:rsid w:val="00415A3C"/>
    <w:rsid w:val="0043352D"/>
    <w:rsid w:val="00443627"/>
    <w:rsid w:val="00451B0D"/>
    <w:rsid w:val="00460120"/>
    <w:rsid w:val="00475A0F"/>
    <w:rsid w:val="004823D6"/>
    <w:rsid w:val="004A4325"/>
    <w:rsid w:val="004A4F97"/>
    <w:rsid w:val="004C3725"/>
    <w:rsid w:val="004D6A52"/>
    <w:rsid w:val="005211D4"/>
    <w:rsid w:val="00530F00"/>
    <w:rsid w:val="00544A08"/>
    <w:rsid w:val="005530F0"/>
    <w:rsid w:val="00572512"/>
    <w:rsid w:val="00574F54"/>
    <w:rsid w:val="0057780F"/>
    <w:rsid w:val="005B611C"/>
    <w:rsid w:val="005E2C59"/>
    <w:rsid w:val="005E70F8"/>
    <w:rsid w:val="005F155A"/>
    <w:rsid w:val="005F7E7E"/>
    <w:rsid w:val="00617BD7"/>
    <w:rsid w:val="00643729"/>
    <w:rsid w:val="00650112"/>
    <w:rsid w:val="006A44A9"/>
    <w:rsid w:val="00705767"/>
    <w:rsid w:val="0072579E"/>
    <w:rsid w:val="007324BE"/>
    <w:rsid w:val="00755895"/>
    <w:rsid w:val="007611B7"/>
    <w:rsid w:val="00782984"/>
    <w:rsid w:val="007D67C0"/>
    <w:rsid w:val="007D7A6D"/>
    <w:rsid w:val="007F6EEB"/>
    <w:rsid w:val="00802BE9"/>
    <w:rsid w:val="008404ED"/>
    <w:rsid w:val="008676A4"/>
    <w:rsid w:val="0089461A"/>
    <w:rsid w:val="008E5F0C"/>
    <w:rsid w:val="009972A6"/>
    <w:rsid w:val="00A050E5"/>
    <w:rsid w:val="00A25ED8"/>
    <w:rsid w:val="00A52F6D"/>
    <w:rsid w:val="00A6700A"/>
    <w:rsid w:val="00A82FC0"/>
    <w:rsid w:val="00A86670"/>
    <w:rsid w:val="00AA7E20"/>
    <w:rsid w:val="00AB7339"/>
    <w:rsid w:val="00AC25A9"/>
    <w:rsid w:val="00AC5849"/>
    <w:rsid w:val="00AD01F6"/>
    <w:rsid w:val="00B24138"/>
    <w:rsid w:val="00B3139C"/>
    <w:rsid w:val="00B67CE4"/>
    <w:rsid w:val="00BC40A9"/>
    <w:rsid w:val="00BC7090"/>
    <w:rsid w:val="00C61F84"/>
    <w:rsid w:val="00C64450"/>
    <w:rsid w:val="00C67DD2"/>
    <w:rsid w:val="00CD6F5E"/>
    <w:rsid w:val="00D05B12"/>
    <w:rsid w:val="00D14973"/>
    <w:rsid w:val="00D54C2D"/>
    <w:rsid w:val="00D9165E"/>
    <w:rsid w:val="00DC5A65"/>
    <w:rsid w:val="00DD108B"/>
    <w:rsid w:val="00DE4068"/>
    <w:rsid w:val="00DE4B50"/>
    <w:rsid w:val="00DF1D4D"/>
    <w:rsid w:val="00E04E26"/>
    <w:rsid w:val="00E25747"/>
    <w:rsid w:val="00E27EC0"/>
    <w:rsid w:val="00E3495E"/>
    <w:rsid w:val="00E5162A"/>
    <w:rsid w:val="00E52043"/>
    <w:rsid w:val="00E52612"/>
    <w:rsid w:val="00E55625"/>
    <w:rsid w:val="00E824AD"/>
    <w:rsid w:val="00E8781E"/>
    <w:rsid w:val="00F12D7E"/>
    <w:rsid w:val="00F13C54"/>
    <w:rsid w:val="00F205D9"/>
    <w:rsid w:val="00F8277E"/>
    <w:rsid w:val="00FA1BC6"/>
    <w:rsid w:val="00FA5DA0"/>
    <w:rsid w:val="00FE576B"/>
    <w:rsid w:val="00FE792F"/>
    <w:rsid w:val="00FF0B89"/>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5:docId w15:val="{4A4BB2AF-F61A-4F27-B774-44B1160B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06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068"/>
    <w:pPr>
      <w:ind w:left="720"/>
      <w:contextualSpacing/>
    </w:pPr>
  </w:style>
  <w:style w:type="paragraph" w:styleId="FootnoteText">
    <w:name w:val="footnote text"/>
    <w:basedOn w:val="Normal"/>
    <w:link w:val="FootnoteTextChar"/>
    <w:uiPriority w:val="99"/>
    <w:unhideWhenUsed/>
    <w:rsid w:val="00DE4068"/>
    <w:pPr>
      <w:spacing w:after="0" w:line="240" w:lineRule="auto"/>
    </w:pPr>
    <w:rPr>
      <w:sz w:val="20"/>
      <w:szCs w:val="20"/>
    </w:rPr>
  </w:style>
  <w:style w:type="character" w:customStyle="1" w:styleId="FootnoteTextChar">
    <w:name w:val="Footnote Text Char"/>
    <w:basedOn w:val="DefaultParagraphFont"/>
    <w:link w:val="FootnoteText"/>
    <w:uiPriority w:val="99"/>
    <w:rsid w:val="00DE4068"/>
    <w:rPr>
      <w:sz w:val="20"/>
      <w:szCs w:val="20"/>
      <w:lang w:val="en-GB"/>
    </w:rPr>
  </w:style>
  <w:style w:type="character" w:styleId="FootnoteReference">
    <w:name w:val="footnote reference"/>
    <w:basedOn w:val="DefaultParagraphFont"/>
    <w:uiPriority w:val="99"/>
    <w:semiHidden/>
    <w:unhideWhenUsed/>
    <w:rsid w:val="00DE4068"/>
    <w:rPr>
      <w:vertAlign w:val="superscript"/>
    </w:rPr>
  </w:style>
  <w:style w:type="character" w:styleId="Hyperlink">
    <w:name w:val="Hyperlink"/>
    <w:basedOn w:val="DefaultParagraphFont"/>
    <w:uiPriority w:val="99"/>
    <w:semiHidden/>
    <w:unhideWhenUsed/>
    <w:rsid w:val="00DE4068"/>
    <w:rPr>
      <w:color w:val="0000FF"/>
      <w:u w:val="single"/>
    </w:rPr>
  </w:style>
  <w:style w:type="paragraph" w:styleId="Header">
    <w:name w:val="header"/>
    <w:basedOn w:val="Normal"/>
    <w:link w:val="HeaderChar"/>
    <w:uiPriority w:val="99"/>
    <w:unhideWhenUsed/>
    <w:rsid w:val="00DF1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D4D"/>
    <w:rPr>
      <w:lang w:val="en-GB"/>
    </w:rPr>
  </w:style>
  <w:style w:type="paragraph" w:styleId="Footer">
    <w:name w:val="footer"/>
    <w:basedOn w:val="Normal"/>
    <w:link w:val="FooterChar"/>
    <w:uiPriority w:val="99"/>
    <w:unhideWhenUsed/>
    <w:rsid w:val="00DF1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D4D"/>
    <w:rPr>
      <w:lang w:val="en-GB"/>
    </w:rPr>
  </w:style>
  <w:style w:type="paragraph" w:styleId="BalloonText">
    <w:name w:val="Balloon Text"/>
    <w:basedOn w:val="Normal"/>
    <w:link w:val="BalloonTextChar"/>
    <w:uiPriority w:val="99"/>
    <w:semiHidden/>
    <w:unhideWhenUsed/>
    <w:rsid w:val="003A2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35B"/>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FDAFB-32A7-42F9-B3B6-EE539476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Jamil</dc:creator>
  <cp:lastModifiedBy>Ivana Roagna</cp:lastModifiedBy>
  <cp:revision>3</cp:revision>
  <cp:lastPrinted>2012-05-22T13:54:00Z</cp:lastPrinted>
  <dcterms:created xsi:type="dcterms:W3CDTF">2021-09-23T20:24:00Z</dcterms:created>
  <dcterms:modified xsi:type="dcterms:W3CDTF">2021-09-29T08:48:00Z</dcterms:modified>
</cp:coreProperties>
</file>