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D02D" w14:textId="427ABD27" w:rsidR="00D82C18" w:rsidRPr="00B3608C" w:rsidRDefault="00B3608C" w:rsidP="000F7896">
      <w:pPr>
        <w:rPr>
          <w:rFonts w:ascii="Verdana" w:hAnsi="Verdana"/>
        </w:rPr>
      </w:pPr>
      <w:r>
        <w:rPr>
          <w:rFonts w:ascii="Verdana" w:hAnsi="Verdana"/>
          <w:sz w:val="28"/>
          <w:szCs w:val="28"/>
        </w:rPr>
        <w:t>Lección 1.6 El Convenio de Budapest:</w:t>
      </w:r>
      <w:r>
        <w:rPr>
          <w:rFonts w:ascii="Verdana" w:hAnsi="Verdana"/>
          <w:color w:val="000000" w:themeColor="text1"/>
          <w:sz w:val="28"/>
          <w:szCs w:val="28"/>
        </w:rPr>
        <w:t xml:space="preserve"> Una visión general </w:t>
      </w:r>
    </w:p>
    <w:p w14:paraId="1D0E3DC5" w14:textId="77777777" w:rsidR="00C115FC" w:rsidRPr="00C115FC" w:rsidRDefault="00C115FC" w:rsidP="00C115FC">
      <w:pPr>
        <w:ind w:left="360"/>
        <w:rPr>
          <w:rFonts w:ascii="Verdana" w:hAnsi="Verdana"/>
        </w:rPr>
      </w:pPr>
    </w:p>
    <w:tbl>
      <w:tblPr>
        <w:tblStyle w:val="Tablaconcuadrcula"/>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6D61419A" w:rsidR="00D82C18" w:rsidRPr="00D82C18" w:rsidRDefault="00C115FC" w:rsidP="00C115FC">
            <w:pPr>
              <w:rPr>
                <w:rFonts w:ascii="Verdana" w:hAnsi="Verdana"/>
                <w:sz w:val="22"/>
                <w:szCs w:val="22"/>
              </w:rPr>
            </w:pPr>
            <w:r>
              <w:rPr>
                <w:rFonts w:ascii="Verdana" w:hAnsi="Verdana"/>
                <w:sz w:val="22"/>
                <w:szCs w:val="22"/>
              </w:rPr>
              <w:t>Lección 1.6 El Convenio de Budapest:</w:t>
            </w:r>
            <w:r>
              <w:rPr>
                <w:rFonts w:ascii="Verdana" w:hAnsi="Verdana"/>
                <w:color w:val="000000" w:themeColor="text1"/>
                <w:sz w:val="22"/>
                <w:szCs w:val="22"/>
              </w:rPr>
              <w:t xml:space="preserve"> Una visión general</w:t>
            </w:r>
          </w:p>
        </w:tc>
        <w:tc>
          <w:tcPr>
            <w:tcW w:w="2165" w:type="dxa"/>
            <w:shd w:val="clear" w:color="auto" w:fill="DEEAF6" w:themeFill="accent5" w:themeFillTint="33"/>
            <w:vAlign w:val="center"/>
          </w:tcPr>
          <w:p w14:paraId="30B631DA" w14:textId="179EE6C3" w:rsidR="00D82C18" w:rsidRPr="00D82C18" w:rsidRDefault="00D82C18" w:rsidP="00C115FC">
            <w:pPr>
              <w:rPr>
                <w:rFonts w:ascii="Verdana" w:hAnsi="Verdana"/>
                <w:sz w:val="22"/>
                <w:szCs w:val="22"/>
              </w:rPr>
            </w:pPr>
            <w:r>
              <w:rPr>
                <w:rFonts w:ascii="Verdana" w:hAnsi="Verdana"/>
                <w:sz w:val="22"/>
                <w:szCs w:val="22"/>
              </w:rPr>
              <w:t xml:space="preserve">Duración: </w:t>
            </w:r>
            <w:r>
              <w:rPr>
                <w:rFonts w:ascii="Verdana" w:hAnsi="Verdana"/>
                <w:color w:val="000000" w:themeColor="text1"/>
                <w:sz w:val="22"/>
                <w:szCs w:val="22"/>
              </w:rPr>
              <w:t xml:space="preserve">45 minutos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Pr>
                <w:rFonts w:ascii="Verdana" w:hAnsi="Verdana"/>
                <w:b/>
                <w:sz w:val="22"/>
                <w:szCs w:val="22"/>
              </w:rPr>
              <w:t xml:space="preserve">Recursos necesarios: </w:t>
            </w:r>
          </w:p>
          <w:p w14:paraId="060400D8" w14:textId="77777777" w:rsidR="000F7896" w:rsidRPr="000F7896" w:rsidRDefault="000F7896" w:rsidP="000F7896">
            <w:pPr>
              <w:pStyle w:val="bul1"/>
              <w:numPr>
                <w:ilvl w:val="0"/>
                <w:numId w:val="6"/>
              </w:numPr>
              <w:spacing w:line="280" w:lineRule="exact"/>
              <w:rPr>
                <w:rFonts w:ascii="Symbol" w:hAnsi="Symbol"/>
              </w:rPr>
            </w:pPr>
            <w:r>
              <w:t xml:space="preserve">PC/portátil cargado con versiones de software compatibles con los materiales preparados </w:t>
            </w:r>
          </w:p>
          <w:p w14:paraId="62A10C2C" w14:textId="77777777" w:rsidR="000F7896" w:rsidRPr="000F7896" w:rsidRDefault="000F7896" w:rsidP="000F7896">
            <w:pPr>
              <w:pStyle w:val="bul1"/>
              <w:numPr>
                <w:ilvl w:val="0"/>
                <w:numId w:val="6"/>
              </w:numPr>
              <w:spacing w:line="280" w:lineRule="exact"/>
              <w:rPr>
                <w:rFonts w:ascii="Symbol" w:hAnsi="Symbol"/>
              </w:rPr>
            </w:pPr>
            <w:r>
              <w:t xml:space="preserve">Acceso a Internet (si está disponible) </w:t>
            </w:r>
          </w:p>
          <w:p w14:paraId="575CEC8B" w14:textId="7FC1824F" w:rsidR="000F7896" w:rsidRPr="00AC1380" w:rsidRDefault="000F7896" w:rsidP="000F7896">
            <w:pPr>
              <w:pStyle w:val="bul1"/>
              <w:numPr>
                <w:ilvl w:val="0"/>
                <w:numId w:val="6"/>
              </w:numPr>
              <w:spacing w:line="280" w:lineRule="exact"/>
              <w:rPr>
                <w:rFonts w:ascii="Symbol" w:hAnsi="Symbol"/>
              </w:rPr>
            </w:pPr>
            <w:r>
              <w:t xml:space="preserve">PowerPoint u otra presentación </w:t>
            </w:r>
          </w:p>
          <w:p w14:paraId="3DB10AE8" w14:textId="155852A6" w:rsidR="00AC1380" w:rsidRPr="000F7896" w:rsidRDefault="00AC1380" w:rsidP="000F7896">
            <w:pPr>
              <w:pStyle w:val="bul1"/>
              <w:numPr>
                <w:ilvl w:val="0"/>
                <w:numId w:val="6"/>
              </w:numPr>
              <w:spacing w:line="280" w:lineRule="exact"/>
              <w:rPr>
                <w:rFonts w:ascii="Symbol" w:hAnsi="Symbol"/>
              </w:rPr>
            </w:pPr>
            <w:r>
              <w:t>Sistema de audio</w:t>
            </w:r>
          </w:p>
          <w:p w14:paraId="14CF9EF0" w14:textId="1ED885BC" w:rsidR="000F7896" w:rsidRPr="00A439ED" w:rsidRDefault="000F7896" w:rsidP="00A439ED">
            <w:pPr>
              <w:pStyle w:val="bul1"/>
              <w:numPr>
                <w:ilvl w:val="0"/>
                <w:numId w:val="6"/>
              </w:numPr>
              <w:spacing w:line="280" w:lineRule="exact"/>
              <w:rPr>
                <w:rFonts w:ascii="Symbol" w:hAnsi="Symbol"/>
              </w:rPr>
            </w:pPr>
            <w:r>
              <w:t>Copia del Convenio de Budapest</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Propósito de la sesión:  </w:t>
            </w:r>
          </w:p>
          <w:p w14:paraId="3FE58655" w14:textId="21C214A6" w:rsidR="00A03CF0" w:rsidRPr="000F7896" w:rsidRDefault="00BA7368" w:rsidP="00FA5D5D">
            <w:pPr>
              <w:spacing w:before="120" w:after="120" w:line="280" w:lineRule="exact"/>
              <w:jc w:val="both"/>
              <w:rPr>
                <w:rFonts w:ascii="Verdana" w:hAnsi="Verdana"/>
                <w:i/>
                <w:color w:val="FF0000"/>
                <w:sz w:val="18"/>
                <w:szCs w:val="18"/>
              </w:rPr>
            </w:pPr>
            <w:r>
              <w:rPr>
                <w:rFonts w:ascii="Verdana" w:hAnsi="Verdana"/>
                <w:sz w:val="18"/>
                <w:szCs w:val="18"/>
              </w:rPr>
              <w:t xml:space="preserve">El propósito de esta sesión es ofrecer a los delegados una visión general del Convenio de Budapest. El Convenio de Budapest es el único tratado mundial sobre ciberdelincuencia y pruebas electrónicas que cuenta con 65 miembros de todo el mundo. Esta sesión ofrece una visión general de alto nivel de las disposiciones del Convenio de Budapest, en particular el derecho sustantivo, el derecho procesal y las disposiciones de cooperación internacional. Se explica cómo el Convenio de Budapest tiene todos los elementos fundamentales que son necesarios para cualquier tratado sobre ciberdelincuencia. Se describen los beneficios prácticos que las Partes en el Convenio de Budapest han experimentado, como la mejora de las leyes nacionales, la mejora de las investigaciones nacionales, un mecanismo de cooperación internacional jurídicamente vinculante, un programa de desarrollo de capacidades y el acceso a una red de profesionales internacionales. En esta sesión también se disipan ideas erróneas sobre el Convenio de Budapest. </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rFonts w:ascii="Verdana" w:hAnsi="Verdana"/>
                <w:b/>
                <w:sz w:val="22"/>
                <w:szCs w:val="22"/>
              </w:rPr>
            </w:pPr>
            <w:r>
              <w:rPr>
                <w:rFonts w:ascii="Verdana" w:hAnsi="Verdana"/>
                <w:b/>
                <w:sz w:val="22"/>
                <w:szCs w:val="22"/>
              </w:rPr>
              <w:t>Objetivos:</w:t>
            </w:r>
          </w:p>
          <w:p w14:paraId="7552C5F6" w14:textId="77777777" w:rsidR="000F7896" w:rsidRPr="00AC1380" w:rsidRDefault="000F7896" w:rsidP="000F7896">
            <w:pPr>
              <w:tabs>
                <w:tab w:val="left" w:pos="426"/>
                <w:tab w:val="left" w:pos="851"/>
              </w:tabs>
              <w:rPr>
                <w:rFonts w:ascii="Verdana" w:eastAsia="Times New Roman" w:hAnsi="Verdana" w:cs="Times New Roman"/>
                <w:sz w:val="18"/>
                <w:szCs w:val="18"/>
              </w:rPr>
            </w:pPr>
            <w:r>
              <w:rPr>
                <w:rFonts w:ascii="Verdana" w:hAnsi="Verdana"/>
                <w:sz w:val="18"/>
                <w:szCs w:val="18"/>
              </w:rPr>
              <w:t>Al final de esta sesión los delegados podrán:</w:t>
            </w:r>
          </w:p>
          <w:p w14:paraId="7F1AE0C9" w14:textId="77777777" w:rsidR="00437AF3" w:rsidRPr="00AC1380" w:rsidRDefault="007E3B3E" w:rsidP="007E3B3E">
            <w:pPr>
              <w:pStyle w:val="bul1"/>
              <w:numPr>
                <w:ilvl w:val="0"/>
                <w:numId w:val="11"/>
              </w:numPr>
              <w:rPr>
                <w:szCs w:val="18"/>
              </w:rPr>
            </w:pPr>
            <w:r>
              <w:t xml:space="preserve">Comprender el ámbito de aplicación del Convenio de Budapest </w:t>
            </w:r>
          </w:p>
          <w:p w14:paraId="24045D2F" w14:textId="77777777" w:rsidR="00437AF3" w:rsidRPr="00AC1380" w:rsidRDefault="007E3B3E" w:rsidP="007E3B3E">
            <w:pPr>
              <w:pStyle w:val="bul1"/>
              <w:numPr>
                <w:ilvl w:val="0"/>
                <w:numId w:val="11"/>
              </w:numPr>
              <w:rPr>
                <w:szCs w:val="18"/>
              </w:rPr>
            </w:pPr>
            <w:r>
              <w:t xml:space="preserve">Conocer el número de miembros de la Convención de Budapest </w:t>
            </w:r>
          </w:p>
          <w:p w14:paraId="43869329" w14:textId="77777777" w:rsidR="00437AF3" w:rsidRPr="00AC1380" w:rsidRDefault="007E3B3E" w:rsidP="007E3B3E">
            <w:pPr>
              <w:pStyle w:val="bul1"/>
              <w:numPr>
                <w:ilvl w:val="0"/>
                <w:numId w:val="11"/>
              </w:numPr>
              <w:rPr>
                <w:szCs w:val="18"/>
              </w:rPr>
            </w:pPr>
            <w:r>
              <w:t xml:space="preserve">Reconocer los fundamentos de un tratado en materia de ciberdelincuencia </w:t>
            </w:r>
          </w:p>
          <w:p w14:paraId="61ABEAC5" w14:textId="56778DC5" w:rsidR="001E7389" w:rsidRPr="001E7389" w:rsidRDefault="007E3B3E" w:rsidP="007E3B3E">
            <w:pPr>
              <w:pStyle w:val="bul1"/>
              <w:numPr>
                <w:ilvl w:val="0"/>
                <w:numId w:val="11"/>
              </w:numPr>
            </w:pPr>
            <w:r>
              <w:t>Comprender los beneficios del Convenio de Budapest y abordar los conceptos erróneos más comunes sobre este.</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Pr>
                <w:rFonts w:ascii="Verdana" w:hAnsi="Verdana"/>
                <w:b/>
                <w:color w:val="000000" w:themeColor="text1"/>
                <w:sz w:val="22"/>
                <w:szCs w:val="22"/>
              </w:rPr>
              <w:t>Pautas para los formadores</w:t>
            </w:r>
          </w:p>
          <w:p w14:paraId="07BEE2FF" w14:textId="523DC2C0" w:rsidR="00E31F52" w:rsidRDefault="00754B7D" w:rsidP="00E31F52">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Esta sesión constituye</w:t>
            </w:r>
            <w:r w:rsidR="00AC1380">
              <w:rPr>
                <w:rFonts w:ascii="Verdana" w:hAnsi="Verdana"/>
                <w:color w:val="000000" w:themeColor="text1"/>
                <w:sz w:val="18"/>
                <w:szCs w:val="18"/>
              </w:rPr>
              <w:t xml:space="preserve"> un complemento de curso introductorio de formación judicial del Consejo de Europa. </w:t>
            </w:r>
          </w:p>
          <w:p w14:paraId="2B89D842" w14:textId="78234065" w:rsidR="00E31F52" w:rsidRDefault="00E31F52" w:rsidP="00E31F52">
            <w:pPr>
              <w:spacing w:before="120" w:after="120" w:line="280" w:lineRule="exact"/>
              <w:jc w:val="both"/>
              <w:rPr>
                <w:rFonts w:ascii="Verdana" w:hAnsi="Verdana"/>
                <w:color w:val="000000" w:themeColor="text1"/>
                <w:sz w:val="18"/>
                <w:szCs w:val="18"/>
              </w:rPr>
            </w:pPr>
            <w:r>
              <w:t>Se recomienda que, además de este plan de lección, el formador estudie también el informe del</w:t>
            </w:r>
            <w:r>
              <w:rPr>
                <w:rFonts w:ascii="Verdana" w:hAnsi="Verdana"/>
                <w:color w:val="000000" w:themeColor="text1"/>
                <w:sz w:val="18"/>
                <w:szCs w:val="18"/>
              </w:rPr>
              <w:t xml:space="preserve"> T-CY sobre </w:t>
            </w:r>
            <w:hyperlink r:id="rId5" w:history="1">
              <w:r>
                <w:rPr>
                  <w:rStyle w:val="Hipervnculo"/>
                  <w:rFonts w:ascii="Verdana" w:hAnsi="Verdana"/>
                  <w:b/>
                  <w:bCs/>
                  <w:sz w:val="18"/>
                  <w:szCs w:val="18"/>
                </w:rPr>
                <w:t>El Convenio de Budapest: beneficios e impacto en la práctica</w:t>
              </w:r>
            </w:hyperlink>
            <w:r>
              <w:rPr>
                <w:rFonts w:ascii="Verdana" w:hAnsi="Verdana"/>
                <w:color w:val="000000" w:themeColor="text1"/>
                <w:sz w:val="18"/>
                <w:szCs w:val="18"/>
              </w:rPr>
              <w:t>, ya que es una parte importante de esta sesión. Si existe un interés adicional por saber cómo se han beneficiado los países del Convenio de Budapest, el formador puede compartir con los delegados cualquier parte pertinente del informe.</w:t>
            </w:r>
          </w:p>
          <w:p w14:paraId="51D910FF" w14:textId="35197CB5" w:rsidR="00FF2976" w:rsidRDefault="00E31F52" w:rsidP="00E31F52">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 xml:space="preserve">Dado que el propósito principal de esta sesión es proporcionar una visión general del Convenio de Budapest y abordar cualquier idea errónea de los delegados sobre el Convenio de Budapest y su ámbito de aplicación, el formador puede comenzar la sesión preguntándoles qué saben sobre el Convenio de Budapest. Esto no solo permitirá al formador realizar una evaluación previa, sino también evaluar al final de la formación si los delegados han aprendido algo nuevo sobre el Convenio de Budapest. </w:t>
            </w:r>
          </w:p>
          <w:p w14:paraId="5EFF4BEF" w14:textId="65D1EE77" w:rsidR="00FF2976" w:rsidRPr="00E31F52" w:rsidRDefault="00FF2976" w:rsidP="00AC1380">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 xml:space="preserve">Al presentar la sección 4 de este módulo, el formador debe animar a los delegados a entablar un debate sobre los posibles conceptos erróneos que tienen sobre el Convenio de Budapest. Esto ayudará a asegurar que la sesión siga siendo interactiva para los delegados y también ayudará al formador a evaluar qué "mitos" deben abordarse de forma más exhaustiva. </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Pr>
                <w:rFonts w:ascii="Verdana" w:hAnsi="Verdana"/>
                <w:b/>
                <w:sz w:val="28"/>
                <w:szCs w:val="28"/>
              </w:rPr>
              <w:lastRenderedPageBreak/>
              <w:t>Contenido de la lección</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Pr>
                <w:rFonts w:ascii="Verdana" w:hAnsi="Verdana"/>
                <w:b/>
                <w:sz w:val="22"/>
                <w:szCs w:val="22"/>
              </w:rPr>
              <w:t>Números de las diapositivas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Pr>
                <w:rFonts w:ascii="Verdana" w:hAnsi="Verdana"/>
                <w:b/>
                <w:sz w:val="22"/>
                <w:szCs w:val="22"/>
              </w:rPr>
              <w:t>Contenido</w:t>
            </w:r>
          </w:p>
        </w:tc>
      </w:tr>
      <w:tr w:rsidR="00F1574D" w:rsidRPr="00D82C18" w14:paraId="11A12D7E" w14:textId="77777777" w:rsidTr="000F04E4">
        <w:trPr>
          <w:trHeight w:val="591"/>
        </w:trPr>
        <w:tc>
          <w:tcPr>
            <w:tcW w:w="1525" w:type="dxa"/>
            <w:vAlign w:val="center"/>
          </w:tcPr>
          <w:p w14:paraId="67083237" w14:textId="207A1282" w:rsidR="00D82C18" w:rsidRDefault="003630ED" w:rsidP="00F1574D">
            <w:pPr>
              <w:spacing w:before="120" w:after="120" w:line="280" w:lineRule="exact"/>
              <w:jc w:val="center"/>
              <w:rPr>
                <w:rFonts w:ascii="Verdana" w:hAnsi="Verdana"/>
                <w:sz w:val="18"/>
                <w:szCs w:val="18"/>
              </w:rPr>
            </w:pPr>
            <w:r>
              <w:rPr>
                <w:rFonts w:ascii="Verdana" w:hAnsi="Verdana"/>
                <w:sz w:val="18"/>
                <w:szCs w:val="18"/>
              </w:rPr>
              <w:t>1 a 4</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Diapositivas obligatorias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Pr>
                <w:rFonts w:ascii="Verdana" w:hAnsi="Verdana"/>
                <w:color w:val="000000" w:themeColor="text1"/>
                <w:sz w:val="18"/>
                <w:szCs w:val="18"/>
              </w:rPr>
              <w:t xml:space="preserve">Las diapositivas de apertura sirven de introducción a la sesión e incluyen el programa, así como las metas y los objetivos de la sesión. </w:t>
            </w:r>
          </w:p>
        </w:tc>
      </w:tr>
      <w:tr w:rsidR="00F1574D" w:rsidRPr="00D82C18" w14:paraId="65F07CB5" w14:textId="77777777" w:rsidTr="00F1574D">
        <w:trPr>
          <w:trHeight w:val="1880"/>
        </w:trPr>
        <w:tc>
          <w:tcPr>
            <w:tcW w:w="1525" w:type="dxa"/>
            <w:vAlign w:val="center"/>
          </w:tcPr>
          <w:p w14:paraId="56AF6365" w14:textId="585D1892" w:rsidR="00D82C18" w:rsidRDefault="00C70C5C" w:rsidP="00F1574D">
            <w:pPr>
              <w:spacing w:before="120" w:after="120" w:line="280" w:lineRule="exact"/>
              <w:jc w:val="center"/>
              <w:rPr>
                <w:rFonts w:ascii="Verdana" w:hAnsi="Verdana"/>
                <w:sz w:val="18"/>
                <w:szCs w:val="18"/>
              </w:rPr>
            </w:pPr>
            <w:r>
              <w:rPr>
                <w:rFonts w:ascii="Verdana" w:hAnsi="Verdana"/>
                <w:sz w:val="18"/>
                <w:szCs w:val="18"/>
              </w:rPr>
              <w:t>5 a 12</w:t>
            </w:r>
          </w:p>
          <w:p w14:paraId="6F5AEB2D" w14:textId="242338E2" w:rsidR="00F1574D" w:rsidRPr="003630ED" w:rsidRDefault="00BA7368" w:rsidP="00F1574D">
            <w:pPr>
              <w:spacing w:before="120" w:after="120" w:line="280" w:lineRule="exact"/>
              <w:jc w:val="center"/>
              <w:rPr>
                <w:rFonts w:ascii="Verdana" w:hAnsi="Verdana"/>
                <w:sz w:val="18"/>
                <w:szCs w:val="18"/>
              </w:rPr>
            </w:pPr>
            <w:r>
              <w:rPr>
                <w:rFonts w:ascii="Verdana" w:hAnsi="Verdana"/>
                <w:sz w:val="18"/>
                <w:szCs w:val="18"/>
              </w:rPr>
              <w:t>Diapositivas obligatorias</w:t>
            </w:r>
          </w:p>
        </w:tc>
        <w:tc>
          <w:tcPr>
            <w:tcW w:w="7485" w:type="dxa"/>
            <w:gridSpan w:val="2"/>
            <w:vAlign w:val="center"/>
          </w:tcPr>
          <w:p w14:paraId="03BAFCE9" w14:textId="77777777" w:rsidR="0062475C" w:rsidRPr="0062475C" w:rsidRDefault="00881F77" w:rsidP="00314D32">
            <w:pPr>
              <w:pStyle w:val="Subttulo"/>
              <w:spacing w:line="360" w:lineRule="auto"/>
              <w:rPr>
                <w:rFonts w:ascii="Verdana" w:eastAsia="Times New Roman" w:hAnsi="Verdana"/>
                <w:szCs w:val="18"/>
              </w:rPr>
            </w:pPr>
            <w:r>
              <w:rPr>
                <w:rFonts w:ascii="Verdana" w:hAnsi="Verdana"/>
                <w:szCs w:val="18"/>
              </w:rPr>
              <w:t xml:space="preserve">Estas diapositivas ofrecen una visión del ámbito de aplicación y el alcance del Convenio de Budapest. </w:t>
            </w:r>
          </w:p>
          <w:p w14:paraId="0D56FA49" w14:textId="77777777" w:rsidR="0062475C" w:rsidRPr="0062475C" w:rsidRDefault="0062475C" w:rsidP="00314D32">
            <w:pPr>
              <w:pStyle w:val="Subttulo"/>
              <w:spacing w:line="360" w:lineRule="auto"/>
              <w:rPr>
                <w:rFonts w:ascii="Verdana" w:eastAsia="Times New Roman" w:hAnsi="Verdana"/>
                <w:szCs w:val="18"/>
              </w:rPr>
            </w:pPr>
            <w:r>
              <w:rPr>
                <w:rFonts w:ascii="Verdana" w:hAnsi="Verdana"/>
                <w:szCs w:val="18"/>
              </w:rPr>
              <w:t xml:space="preserve">Las primeras diapositivas muestran las "tres patas" del Convenio de Budapest (es decir, las conductas delictivas, los instrumentos procesales y la cooperación internacional), que el formador debe mencionar que se tratarán en detalle en sesiones posteriores. </w:t>
            </w:r>
          </w:p>
          <w:p w14:paraId="649FEA68" w14:textId="509619C6" w:rsidR="0062475C" w:rsidRPr="00CB708C" w:rsidRDefault="0062475C" w:rsidP="00CB708C">
            <w:pPr>
              <w:pStyle w:val="Subttulo"/>
              <w:spacing w:line="360" w:lineRule="auto"/>
              <w:rPr>
                <w:rFonts w:ascii="Verdana" w:eastAsia="Times New Roman" w:hAnsi="Verdana"/>
                <w:szCs w:val="18"/>
              </w:rPr>
            </w:pPr>
            <w:r>
              <w:rPr>
                <w:rFonts w:ascii="Verdana" w:hAnsi="Verdana"/>
                <w:szCs w:val="18"/>
              </w:rPr>
              <w:t>En la siguiente serie de diapositivas se examina el enfoque del Consejo de Europa y los diversos proyectos que se han iniciado desde que la Oficina del Programa de Lucha contra la Ciberdelincuencia (C-PROC) entró en funcionamiento en 2014.</w:t>
            </w:r>
          </w:p>
        </w:tc>
      </w:tr>
      <w:tr w:rsidR="00F1574D" w:rsidRPr="00D82C18" w14:paraId="15587DD6" w14:textId="77777777" w:rsidTr="00F1574D">
        <w:trPr>
          <w:trHeight w:val="1916"/>
        </w:trPr>
        <w:tc>
          <w:tcPr>
            <w:tcW w:w="1525" w:type="dxa"/>
            <w:vAlign w:val="center"/>
          </w:tcPr>
          <w:p w14:paraId="5EBB803A" w14:textId="789F83BB" w:rsidR="00556D69" w:rsidRPr="0084446A" w:rsidRDefault="0045630D" w:rsidP="00F1574D">
            <w:pPr>
              <w:spacing w:before="120" w:after="120" w:line="280" w:lineRule="exact"/>
              <w:jc w:val="center"/>
              <w:rPr>
                <w:rFonts w:ascii="Verdana" w:hAnsi="Verdana"/>
                <w:sz w:val="18"/>
                <w:szCs w:val="18"/>
              </w:rPr>
            </w:pPr>
            <w:r>
              <w:rPr>
                <w:rFonts w:ascii="Verdana" w:hAnsi="Verdana"/>
                <w:sz w:val="18"/>
                <w:szCs w:val="18"/>
              </w:rPr>
              <w:t xml:space="preserve">13 a 21 </w:t>
            </w:r>
          </w:p>
          <w:p w14:paraId="65C32028" w14:textId="48F00C89" w:rsidR="00F1574D" w:rsidRPr="0084446A" w:rsidRDefault="00A55067" w:rsidP="00F1574D">
            <w:pPr>
              <w:spacing w:before="120" w:after="120" w:line="280" w:lineRule="exact"/>
              <w:jc w:val="center"/>
              <w:rPr>
                <w:rFonts w:ascii="Verdana" w:hAnsi="Verdana"/>
                <w:sz w:val="18"/>
                <w:szCs w:val="18"/>
              </w:rPr>
            </w:pPr>
            <w:r>
              <w:rPr>
                <w:rFonts w:ascii="Verdana" w:hAnsi="Verdana"/>
                <w:sz w:val="18"/>
                <w:szCs w:val="18"/>
              </w:rPr>
              <w:t>Diapositivas importantes</w:t>
            </w:r>
          </w:p>
        </w:tc>
        <w:tc>
          <w:tcPr>
            <w:tcW w:w="7485" w:type="dxa"/>
            <w:gridSpan w:val="2"/>
            <w:vAlign w:val="center"/>
          </w:tcPr>
          <w:p w14:paraId="45342F76" w14:textId="77777777" w:rsidR="00C70C5C" w:rsidRDefault="0084446A" w:rsidP="00CB708C">
            <w:pPr>
              <w:spacing w:line="360" w:lineRule="auto"/>
              <w:jc w:val="both"/>
              <w:rPr>
                <w:rFonts w:ascii="Verdana" w:hAnsi="Verdana"/>
                <w:sz w:val="18"/>
                <w:szCs w:val="18"/>
              </w:rPr>
            </w:pPr>
            <w:r>
              <w:rPr>
                <w:rFonts w:ascii="Verdana" w:hAnsi="Verdana"/>
                <w:sz w:val="18"/>
                <w:szCs w:val="18"/>
              </w:rPr>
              <w:t xml:space="preserve">En estas diapositivas se examinan los fundamentos de un tratado en materia de ciberdelincuencia. El propósito de estas diapositivas es transmitir que el Convenio de Budapest es el único tratado mundial sobre ciberdelincuencia que reúne todos los elementos fundamentales de un tratado sobre ciberdelincuencia. </w:t>
            </w:r>
          </w:p>
          <w:p w14:paraId="09B58FC0" w14:textId="6FDCBDC5" w:rsidR="00637AFB" w:rsidRPr="0084446A" w:rsidRDefault="00D669F8" w:rsidP="00D669F8">
            <w:pPr>
              <w:spacing w:line="360" w:lineRule="auto"/>
              <w:jc w:val="both"/>
              <w:rPr>
                <w:rFonts w:ascii="Verdana" w:hAnsi="Verdana"/>
                <w:sz w:val="18"/>
                <w:szCs w:val="18"/>
              </w:rPr>
            </w:pPr>
            <w:r>
              <w:rPr>
                <w:rFonts w:ascii="Verdana" w:hAnsi="Verdana"/>
                <w:sz w:val="18"/>
                <w:szCs w:val="18"/>
              </w:rPr>
              <w:t>La primera serie de diapositivas ofrece una visión general de alto nivel del panorama internacional, que incluye las convenciones de la UNODC (la Convención de las Naciones Unidas contra la Delincuencia Organizada Transnacional y la Convención de las Naciones Unidas contra la Corrupción), la Organización de Cooperación de Shanghái (Acuerdo de Cooperación en el Ámbito de la Seguridad de la Información), la Commonwealth (Ley Modelo de la Commonwealth sobre Delitos Informáticos y Relacionados con la informática y el Plan de la Commonwealth sobre Asistencia Recíproca en Asuntos Penales - Plan de Harare), los modelos de la UIT (leyes modelo ICT4PAC/SADC/HIPCAR), la Unión Africana (Convención de Malabo sobre Ciberseguridad y Protección de Datos Personales) y la Liga Árabe (Convención sobre la Lucha contra los Delitos de la Tecnología de la Información). A continuación, las diapositivas muestran si estos instrumentos son completos a efectos de la lucha contra la ciberdelincuencia y las pruebas electrónicas. El formador debe hacer un recorrido por los gráficos circulares animados. Las partes marcadas en amarillo indican que el instrumento cubre adecuadamente el elemento en cuestión. Las partes marcadas con puntos rojos indican que el instrumento cubre, al menos parcialmente, ese elemento. Si no hay ninguna parte marcada indica que el elemento no está cubierto. Aquí es importante que el formador haga hincapié en que estos instrumentos pueden aportar valor y complementar el Convenio de Budapest.</w:t>
            </w:r>
          </w:p>
        </w:tc>
      </w:tr>
      <w:tr w:rsidR="00F1574D" w:rsidRPr="00D82C18" w14:paraId="4F010995" w14:textId="77777777" w:rsidTr="00F1574D">
        <w:trPr>
          <w:trHeight w:val="791"/>
        </w:trPr>
        <w:tc>
          <w:tcPr>
            <w:tcW w:w="1525" w:type="dxa"/>
            <w:vAlign w:val="center"/>
          </w:tcPr>
          <w:p w14:paraId="15E808BA" w14:textId="73CF36B7" w:rsidR="00556D69" w:rsidRDefault="0045630D" w:rsidP="00F1574D">
            <w:pPr>
              <w:spacing w:before="120" w:after="120" w:line="280" w:lineRule="exact"/>
              <w:jc w:val="center"/>
              <w:rPr>
                <w:rFonts w:ascii="Verdana" w:hAnsi="Verdana"/>
                <w:sz w:val="18"/>
                <w:szCs w:val="18"/>
              </w:rPr>
            </w:pPr>
            <w:r>
              <w:rPr>
                <w:rFonts w:ascii="Verdana" w:hAnsi="Verdana"/>
                <w:sz w:val="18"/>
                <w:szCs w:val="18"/>
              </w:rPr>
              <w:lastRenderedPageBreak/>
              <w:t>22 a 32</w:t>
            </w:r>
          </w:p>
          <w:p w14:paraId="48504862" w14:textId="307D4B02" w:rsidR="00C70C5C" w:rsidRDefault="00C70C5C" w:rsidP="00F1574D">
            <w:pPr>
              <w:spacing w:before="120" w:after="120" w:line="280" w:lineRule="exact"/>
              <w:jc w:val="center"/>
              <w:rPr>
                <w:rFonts w:ascii="Verdana" w:hAnsi="Verdana"/>
                <w:sz w:val="18"/>
                <w:szCs w:val="18"/>
              </w:rPr>
            </w:pPr>
            <w:r>
              <w:rPr>
                <w:rFonts w:ascii="Verdana" w:hAnsi="Verdana"/>
                <w:sz w:val="18"/>
                <w:szCs w:val="18"/>
              </w:rPr>
              <w:t>Diapositivas obligatorias</w:t>
            </w:r>
          </w:p>
        </w:tc>
        <w:tc>
          <w:tcPr>
            <w:tcW w:w="7485" w:type="dxa"/>
            <w:gridSpan w:val="2"/>
            <w:vAlign w:val="center"/>
          </w:tcPr>
          <w:p w14:paraId="3B6B812F" w14:textId="77777777" w:rsidR="00C70C5C" w:rsidRDefault="00D57822" w:rsidP="0045630D">
            <w:pPr>
              <w:spacing w:line="360" w:lineRule="auto"/>
              <w:jc w:val="both"/>
              <w:rPr>
                <w:rFonts w:ascii="Verdana" w:eastAsia="Times New Roman" w:hAnsi="Verdana" w:cstheme="majorBidi"/>
                <w:iCs/>
                <w:color w:val="000000" w:themeColor="text1"/>
                <w:sz w:val="18"/>
              </w:rPr>
            </w:pPr>
            <w:r>
              <w:rPr>
                <w:rFonts w:ascii="Verdana" w:hAnsi="Verdana"/>
                <w:iCs/>
                <w:color w:val="000000" w:themeColor="text1"/>
                <w:sz w:val="18"/>
              </w:rPr>
              <w:t>En estas diapositivas se exponen las principales ventajas del Convenio de Budapest. Estas diapositivas se han basado en el informe del T-CY sobre los beneficios y repercusiones del Convenio de Budapest.</w:t>
            </w:r>
          </w:p>
          <w:p w14:paraId="7A2E1016" w14:textId="6F39ED0C" w:rsidR="00D57822" w:rsidRDefault="00D57822" w:rsidP="0045630D">
            <w:pPr>
              <w:spacing w:line="360" w:lineRule="auto"/>
              <w:jc w:val="both"/>
              <w:rPr>
                <w:rFonts w:ascii="Verdana" w:eastAsia="Times New Roman" w:hAnsi="Verdana" w:cstheme="majorBidi"/>
                <w:iCs/>
                <w:color w:val="000000" w:themeColor="text1"/>
                <w:sz w:val="18"/>
              </w:rPr>
            </w:pPr>
            <w:r>
              <w:rPr>
                <w:rFonts w:ascii="Verdana" w:hAnsi="Verdana"/>
                <w:iCs/>
                <w:color w:val="000000" w:themeColor="text1"/>
                <w:sz w:val="18"/>
              </w:rPr>
              <w:t xml:space="preserve">La primera diapositiva contiene un breve vídeo del Consejo de Europa donde se resumen los principales beneficios y repercusiones que se han señalado en el informe. </w:t>
            </w:r>
          </w:p>
          <w:p w14:paraId="2DD16BAE" w14:textId="05E5D113" w:rsidR="009E1A27" w:rsidRDefault="009E1A27" w:rsidP="0045630D">
            <w:pPr>
              <w:spacing w:line="360" w:lineRule="auto"/>
              <w:jc w:val="both"/>
              <w:rPr>
                <w:rFonts w:ascii="Verdana" w:eastAsia="Times New Roman" w:hAnsi="Verdana" w:cstheme="majorBidi"/>
                <w:iCs/>
                <w:color w:val="000000" w:themeColor="text1"/>
                <w:sz w:val="18"/>
              </w:rPr>
            </w:pPr>
            <w:r>
              <w:rPr>
                <w:rFonts w:ascii="Verdana" w:hAnsi="Verdana"/>
                <w:iCs/>
                <w:color w:val="000000" w:themeColor="text1"/>
                <w:sz w:val="18"/>
              </w:rPr>
              <w:t xml:space="preserve">En la siguiente serie de diapositivas se describe cómo el Convenio de Budapest ha conducido a la mejora de la legislación nacional, a la mejora de las investigaciones nacionales, a la facilitación de la cooperación internacional y a la mejora de la creación de capacidades. </w:t>
            </w:r>
            <w:r>
              <w:rPr>
                <w:rFonts w:ascii="Verdana" w:hAnsi="Verdana"/>
                <w:sz w:val="18"/>
                <w:szCs w:val="18"/>
              </w:rPr>
              <w:t>En estas diapositivas también se destaca el alcance del Convenio de Budapest, con información sobre el número total de Estados que lo han ratificado</w:t>
            </w:r>
            <w:r>
              <w:rPr>
                <w:rFonts w:ascii="Verdana" w:hAnsi="Verdana"/>
                <w:iCs/>
                <w:color w:val="000000" w:themeColor="text1"/>
                <w:sz w:val="18"/>
              </w:rPr>
              <w:t xml:space="preserve"> </w:t>
            </w:r>
          </w:p>
          <w:p w14:paraId="4AF5B3D7" w14:textId="7CD9924B" w:rsidR="00CB708C" w:rsidRPr="00C70C5C" w:rsidRDefault="009E1A27" w:rsidP="0045630D">
            <w:pPr>
              <w:spacing w:line="360" w:lineRule="auto"/>
              <w:jc w:val="both"/>
              <w:rPr>
                <w:rFonts w:ascii="Verdana" w:eastAsia="Times New Roman" w:hAnsi="Verdana" w:cstheme="majorBidi"/>
                <w:iCs/>
                <w:color w:val="000000" w:themeColor="text1"/>
                <w:sz w:val="18"/>
              </w:rPr>
            </w:pPr>
            <w:r>
              <w:rPr>
                <w:rFonts w:ascii="Verdana" w:hAnsi="Verdana"/>
                <w:iCs/>
                <w:color w:val="000000" w:themeColor="text1"/>
                <w:sz w:val="18"/>
              </w:rPr>
              <w:t xml:space="preserve">El formador puede fomentar un debate entre los delegados sobre cómo el Convenio de Budapest ha beneficiado a su país, pidiéndoles que compartan ejemplos específicos de casos en los que el Convenio de Budapest se ha utilizado en relación con la ciberdelincuencia y las pruebas electrónicas. </w:t>
            </w:r>
          </w:p>
        </w:tc>
      </w:tr>
      <w:tr w:rsidR="00F1574D" w:rsidRPr="00D82C18" w14:paraId="3C4A313A" w14:textId="77777777" w:rsidTr="00F1574D">
        <w:trPr>
          <w:trHeight w:val="890"/>
        </w:trPr>
        <w:tc>
          <w:tcPr>
            <w:tcW w:w="1525" w:type="dxa"/>
            <w:vAlign w:val="center"/>
          </w:tcPr>
          <w:p w14:paraId="1D843CBC" w14:textId="6A9644E5" w:rsidR="00556D69" w:rsidRDefault="0045630D" w:rsidP="00F1574D">
            <w:pPr>
              <w:spacing w:before="120" w:after="120" w:line="280" w:lineRule="exact"/>
              <w:jc w:val="center"/>
              <w:rPr>
                <w:rFonts w:ascii="Verdana" w:hAnsi="Verdana"/>
                <w:sz w:val="18"/>
                <w:szCs w:val="18"/>
              </w:rPr>
            </w:pPr>
            <w:r>
              <w:rPr>
                <w:rFonts w:ascii="Verdana" w:hAnsi="Verdana"/>
                <w:sz w:val="18"/>
                <w:szCs w:val="18"/>
              </w:rPr>
              <w:t>33 a 70</w:t>
            </w:r>
          </w:p>
          <w:p w14:paraId="00098EC4" w14:textId="009BEBF1" w:rsidR="00F1574D" w:rsidRPr="003F6587" w:rsidRDefault="00F1574D" w:rsidP="00F1574D">
            <w:pPr>
              <w:spacing w:before="120" w:after="120" w:line="280" w:lineRule="exact"/>
              <w:jc w:val="center"/>
              <w:rPr>
                <w:rFonts w:ascii="Verdana" w:hAnsi="Verdana"/>
                <w:sz w:val="18"/>
                <w:szCs w:val="18"/>
              </w:rPr>
            </w:pPr>
            <w:r>
              <w:rPr>
                <w:rFonts w:ascii="Verdana" w:hAnsi="Verdana"/>
                <w:sz w:val="18"/>
                <w:szCs w:val="18"/>
              </w:rPr>
              <w:t>Diapositivas obligatorias</w:t>
            </w:r>
          </w:p>
        </w:tc>
        <w:tc>
          <w:tcPr>
            <w:tcW w:w="7485" w:type="dxa"/>
            <w:gridSpan w:val="2"/>
            <w:vAlign w:val="center"/>
          </w:tcPr>
          <w:p w14:paraId="09B693A1" w14:textId="1D5E3AAF" w:rsidR="00556D69" w:rsidRPr="006527C6" w:rsidRDefault="004B3289" w:rsidP="00314D32">
            <w:pPr>
              <w:spacing w:after="120" w:line="360" w:lineRule="auto"/>
              <w:jc w:val="both"/>
              <w:rPr>
                <w:rFonts w:ascii="Verdana" w:hAnsi="Verdana"/>
                <w:sz w:val="18"/>
                <w:szCs w:val="18"/>
              </w:rPr>
            </w:pPr>
            <w:r>
              <w:rPr>
                <w:rFonts w:ascii="Verdana" w:hAnsi="Verdana"/>
                <w:sz w:val="18"/>
                <w:szCs w:val="18"/>
              </w:rPr>
              <w:t xml:space="preserve">En estas diapositivas se identifican los principales "mitos" o conceptos erróneos sobre el Convenio de Budapest y se intenta disiparlos. En las diapositivas se examinan los mitos de que el Convenio de Budapest: es regional y eurocéntrico, fue redactado por un número limitado de países, favorece a los países con infraestructuras, proporciona a otros países un acceso automático e ilimitado a los datos, contempla un número limitado de delitos y es únicamente un tratado en materia de ciberdelincuencia. </w:t>
            </w:r>
            <w:r>
              <w:rPr>
                <w:rFonts w:ascii="Verdana" w:hAnsi="Verdana"/>
                <w:color w:val="000000" w:themeColor="text1"/>
                <w:sz w:val="18"/>
                <w:szCs w:val="18"/>
              </w:rPr>
              <w:t>Al presentar la sección 4 de este módulo, el formador debe animar a los delegados a entablar un debate sobre los posibles conceptos erróneos que tienen sobre el Convenio de Budapest, ya que esto le ayudará a determinar en qué conceptos erróneos concretos debe centrarse.</w:t>
            </w:r>
          </w:p>
        </w:tc>
      </w:tr>
      <w:tr w:rsidR="00F1574D" w:rsidRPr="00D82C18" w14:paraId="35503B3F" w14:textId="77777777" w:rsidTr="00F1574D">
        <w:trPr>
          <w:trHeight w:val="1259"/>
        </w:trPr>
        <w:tc>
          <w:tcPr>
            <w:tcW w:w="1525" w:type="dxa"/>
            <w:vAlign w:val="center"/>
          </w:tcPr>
          <w:p w14:paraId="5A87A945" w14:textId="7E9B227E" w:rsidR="00556D69" w:rsidRDefault="0045630D" w:rsidP="00F1574D">
            <w:pPr>
              <w:spacing w:before="120" w:after="120" w:line="280" w:lineRule="exact"/>
              <w:jc w:val="center"/>
              <w:rPr>
                <w:rFonts w:ascii="Verdana" w:hAnsi="Verdana"/>
                <w:sz w:val="18"/>
                <w:szCs w:val="18"/>
              </w:rPr>
            </w:pPr>
            <w:r>
              <w:rPr>
                <w:rFonts w:ascii="Verdana" w:hAnsi="Verdana"/>
                <w:sz w:val="18"/>
                <w:szCs w:val="18"/>
              </w:rPr>
              <w:t>71 a 72</w:t>
            </w:r>
          </w:p>
          <w:p w14:paraId="5DE9D224" w14:textId="2175AE8F" w:rsidR="00F1574D" w:rsidRPr="006527C6" w:rsidRDefault="00F1574D" w:rsidP="00F1574D">
            <w:pPr>
              <w:spacing w:before="120" w:after="120" w:line="280" w:lineRule="exact"/>
              <w:jc w:val="center"/>
              <w:rPr>
                <w:rFonts w:ascii="Verdana" w:hAnsi="Verdana"/>
                <w:sz w:val="18"/>
                <w:szCs w:val="18"/>
              </w:rPr>
            </w:pPr>
            <w:r>
              <w:rPr>
                <w:rFonts w:ascii="Verdana" w:hAnsi="Verdana"/>
                <w:sz w:val="18"/>
                <w:szCs w:val="18"/>
              </w:rPr>
              <w:t>Diapositivas importantes</w:t>
            </w:r>
          </w:p>
        </w:tc>
        <w:tc>
          <w:tcPr>
            <w:tcW w:w="7485" w:type="dxa"/>
            <w:gridSpan w:val="2"/>
            <w:vAlign w:val="center"/>
          </w:tcPr>
          <w:p w14:paraId="6E2FA816" w14:textId="546A1612" w:rsidR="00314D32" w:rsidRPr="00314D32" w:rsidRDefault="004B3289" w:rsidP="00314D32">
            <w:pPr>
              <w:pStyle w:val="Subttulo"/>
              <w:spacing w:line="360" w:lineRule="auto"/>
            </w:pPr>
            <w:r>
              <w:rPr>
                <w:rFonts w:ascii="Verdana" w:hAnsi="Verdana"/>
                <w:szCs w:val="18"/>
              </w:rPr>
              <w:t>El formador deberá volver a recordar los objetivos de la sesión con los delegados y darles la oportunidad de formular cualquier pregunta relacionada con los materiales tratados en este módulo.</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Ejercicios prácticos</w:t>
            </w:r>
          </w:p>
          <w:p w14:paraId="04D65D89" w14:textId="53DBD58E"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Esta lección no incluye ejercicios prácticos.</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Evaluación/comprobación de conocimientos</w:t>
            </w:r>
          </w:p>
          <w:p w14:paraId="4496975B" w14:textId="1B3740FD" w:rsidR="00CB3026" w:rsidRPr="00CB3026" w:rsidRDefault="00CB3026" w:rsidP="00B3608C">
            <w:pPr>
              <w:spacing w:before="120" w:after="120" w:line="280" w:lineRule="exact"/>
              <w:rPr>
                <w:rFonts w:ascii="Verdana" w:hAnsi="Verdana"/>
                <w:sz w:val="18"/>
                <w:szCs w:val="18"/>
              </w:rPr>
            </w:pPr>
            <w:r>
              <w:rPr>
                <w:rFonts w:ascii="Verdana" w:hAnsi="Verdana"/>
                <w:color w:val="000000" w:themeColor="text1"/>
                <w:sz w:val="18"/>
                <w:szCs w:val="18"/>
              </w:rPr>
              <w:t>No se ha solicitado que se comprueben o evalúen los conocimientos impartidos en esta sesión.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AD53E50"/>
    <w:multiLevelType w:val="multilevel"/>
    <w:tmpl w:val="99E2FBE6"/>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10"/>
  </w:num>
  <w:num w:numId="7">
    <w:abstractNumId w:val="2"/>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D52FC"/>
    <w:rsid w:val="002E3ECE"/>
    <w:rsid w:val="002F3B54"/>
    <w:rsid w:val="00314D32"/>
    <w:rsid w:val="0034224C"/>
    <w:rsid w:val="00342639"/>
    <w:rsid w:val="003453F7"/>
    <w:rsid w:val="00354496"/>
    <w:rsid w:val="003630ED"/>
    <w:rsid w:val="003A435F"/>
    <w:rsid w:val="003E2876"/>
    <w:rsid w:val="003F6587"/>
    <w:rsid w:val="00437AF3"/>
    <w:rsid w:val="00450007"/>
    <w:rsid w:val="0045630D"/>
    <w:rsid w:val="00457DD3"/>
    <w:rsid w:val="00473D36"/>
    <w:rsid w:val="004B3289"/>
    <w:rsid w:val="004B7351"/>
    <w:rsid w:val="00514FE0"/>
    <w:rsid w:val="00556D69"/>
    <w:rsid w:val="005703B7"/>
    <w:rsid w:val="005A4E47"/>
    <w:rsid w:val="005D4432"/>
    <w:rsid w:val="0062475C"/>
    <w:rsid w:val="00637AFB"/>
    <w:rsid w:val="006527C6"/>
    <w:rsid w:val="00671ADF"/>
    <w:rsid w:val="00680264"/>
    <w:rsid w:val="006B0B52"/>
    <w:rsid w:val="0075334E"/>
    <w:rsid w:val="00754B7D"/>
    <w:rsid w:val="007678A6"/>
    <w:rsid w:val="007B1154"/>
    <w:rsid w:val="007E3B3E"/>
    <w:rsid w:val="007F4E03"/>
    <w:rsid w:val="0084446A"/>
    <w:rsid w:val="00844FBF"/>
    <w:rsid w:val="008817F1"/>
    <w:rsid w:val="00881F77"/>
    <w:rsid w:val="008A4C93"/>
    <w:rsid w:val="008C3900"/>
    <w:rsid w:val="008E3FE7"/>
    <w:rsid w:val="00906F18"/>
    <w:rsid w:val="00951791"/>
    <w:rsid w:val="009B4375"/>
    <w:rsid w:val="009D1DB1"/>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115FC"/>
    <w:rsid w:val="00C541A2"/>
    <w:rsid w:val="00C70C5C"/>
    <w:rsid w:val="00CB02C4"/>
    <w:rsid w:val="00CB3026"/>
    <w:rsid w:val="00CB708C"/>
    <w:rsid w:val="00CC1F79"/>
    <w:rsid w:val="00D01990"/>
    <w:rsid w:val="00D57822"/>
    <w:rsid w:val="00D669F8"/>
    <w:rsid w:val="00D82C18"/>
    <w:rsid w:val="00E13BE7"/>
    <w:rsid w:val="00E243AE"/>
    <w:rsid w:val="00E31F52"/>
    <w:rsid w:val="00E7344B"/>
    <w:rsid w:val="00E95703"/>
    <w:rsid w:val="00EB21C2"/>
    <w:rsid w:val="00F1574D"/>
    <w:rsid w:val="00F504D6"/>
    <w:rsid w:val="00F62A15"/>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Ttulo2">
    <w:name w:val="heading 2"/>
    <w:basedOn w:val="Normal"/>
    <w:next w:val="Normal"/>
    <w:link w:val="Ttulo2C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Ttulo3">
    <w:name w:val="heading 3"/>
    <w:basedOn w:val="Normal"/>
    <w:next w:val="Normal"/>
    <w:link w:val="Ttulo3C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Ttulo4">
    <w:name w:val="heading 4"/>
    <w:basedOn w:val="Normal"/>
    <w:next w:val="Normal"/>
    <w:link w:val="Ttulo4C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Ttulo5">
    <w:name w:val="heading 5"/>
    <w:basedOn w:val="Normal"/>
    <w:next w:val="Normal"/>
    <w:link w:val="Ttulo5C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Ttulo6">
    <w:name w:val="heading 6"/>
    <w:basedOn w:val="Normal"/>
    <w:next w:val="Normal"/>
    <w:link w:val="Ttulo6C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Ttulo7">
    <w:name w:val="heading 7"/>
    <w:basedOn w:val="Normal"/>
    <w:next w:val="Normal"/>
    <w:link w:val="Ttulo7C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eastAsia="de-DE"/>
    </w:rPr>
  </w:style>
  <w:style w:type="character" w:customStyle="1" w:styleId="bul1Char">
    <w:name w:val="bul1 Char"/>
    <w:link w:val="bul1"/>
    <w:locked/>
    <w:rsid w:val="00E7344B"/>
    <w:rPr>
      <w:rFonts w:ascii="Verdana" w:eastAsia="Calibri" w:hAnsi="Verdana" w:cs="Times New Roman"/>
      <w:sz w:val="18"/>
      <w:lang w:val="es-ES" w:eastAsia="de-DE"/>
    </w:rPr>
  </w:style>
  <w:style w:type="character" w:styleId="Hipervnculo">
    <w:name w:val="Hyperlink"/>
    <w:basedOn w:val="Fuentedeprrafopredeter"/>
    <w:uiPriority w:val="99"/>
    <w:unhideWhenUsed/>
    <w:rsid w:val="005703B7"/>
    <w:rPr>
      <w:color w:val="0563C1" w:themeColor="hyperlink"/>
      <w:u w:val="single"/>
    </w:rPr>
  </w:style>
  <w:style w:type="paragraph" w:styleId="Subttulo">
    <w:name w:val="Subtitle"/>
    <w:basedOn w:val="Normal"/>
    <w:next w:val="Normal"/>
    <w:link w:val="Subttulo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tuloCar">
    <w:name w:val="Subtítulo Car"/>
    <w:basedOn w:val="Fuentedeprrafopredeter"/>
    <w:link w:val="Subttulo"/>
    <w:uiPriority w:val="11"/>
    <w:rsid w:val="00CB3026"/>
    <w:rPr>
      <w:rFonts w:ascii="Verdana Bold" w:eastAsiaTheme="majorEastAsia" w:hAnsi="Verdana Bold" w:cstheme="majorBidi"/>
      <w:iCs/>
      <w:color w:val="000000" w:themeColor="text1"/>
      <w:sz w:val="18"/>
    </w:rPr>
  </w:style>
  <w:style w:type="character" w:customStyle="1" w:styleId="Ttulo1Car">
    <w:name w:val="Título 1 Car"/>
    <w:basedOn w:val="Fuentedeprrafopredeter"/>
    <w:link w:val="Ttulo1"/>
    <w:uiPriority w:val="9"/>
    <w:rsid w:val="003453F7"/>
    <w:rPr>
      <w:rFonts w:ascii="Verdana" w:eastAsiaTheme="majorEastAsia" w:hAnsi="Verdana" w:cstheme="majorBidi"/>
      <w:b/>
      <w:bCs/>
      <w:sz w:val="28"/>
      <w:szCs w:val="28"/>
    </w:rPr>
  </w:style>
  <w:style w:type="character" w:customStyle="1" w:styleId="Ttulo2Car">
    <w:name w:val="Título 2 Car"/>
    <w:basedOn w:val="Fuentedeprrafopredeter"/>
    <w:link w:val="Ttulo2"/>
    <w:uiPriority w:val="9"/>
    <w:rsid w:val="003453F7"/>
    <w:rPr>
      <w:rFonts w:ascii="Verdana" w:eastAsiaTheme="majorEastAsia" w:hAnsi="Verdana" w:cstheme="majorBidi"/>
      <w:b/>
      <w:bCs/>
      <w:sz w:val="20"/>
      <w:szCs w:val="26"/>
    </w:rPr>
  </w:style>
  <w:style w:type="character" w:customStyle="1" w:styleId="Ttulo3Car">
    <w:name w:val="Título 3 Car"/>
    <w:basedOn w:val="Fuentedeprrafopredeter"/>
    <w:link w:val="Ttulo3"/>
    <w:uiPriority w:val="9"/>
    <w:rsid w:val="003453F7"/>
    <w:rPr>
      <w:rFonts w:ascii="Verdana" w:eastAsiaTheme="majorEastAsia" w:hAnsi="Verdana" w:cstheme="majorBidi"/>
      <w:b/>
      <w:bCs/>
      <w:sz w:val="18"/>
      <w:szCs w:val="22"/>
    </w:rPr>
  </w:style>
  <w:style w:type="character" w:customStyle="1" w:styleId="Ttulo4Car">
    <w:name w:val="Título 4 Car"/>
    <w:basedOn w:val="Fuentedeprrafopredeter"/>
    <w:link w:val="Ttulo4"/>
    <w:uiPriority w:val="9"/>
    <w:rsid w:val="003453F7"/>
    <w:rPr>
      <w:rFonts w:ascii="Verdana" w:eastAsiaTheme="majorEastAsia" w:hAnsi="Verdana" w:cstheme="majorBidi"/>
      <w:b/>
      <w:bCs/>
      <w:iCs/>
      <w:sz w:val="18"/>
      <w:szCs w:val="22"/>
    </w:rPr>
  </w:style>
  <w:style w:type="character" w:customStyle="1" w:styleId="Ttulo5Car">
    <w:name w:val="Título 5 Car"/>
    <w:basedOn w:val="Fuentedeprrafopredeter"/>
    <w:link w:val="Ttulo5"/>
    <w:uiPriority w:val="9"/>
    <w:rsid w:val="003453F7"/>
    <w:rPr>
      <w:rFonts w:asciiTheme="majorHAnsi" w:eastAsiaTheme="majorEastAsia" w:hAnsiTheme="majorHAnsi" w:cstheme="majorBidi"/>
      <w:color w:val="1F3763" w:themeColor="accent1" w:themeShade="7F"/>
      <w:sz w:val="22"/>
      <w:szCs w:val="22"/>
    </w:rPr>
  </w:style>
  <w:style w:type="character" w:customStyle="1" w:styleId="Ttulo6Car">
    <w:name w:val="Título 6 Car"/>
    <w:basedOn w:val="Fuentedeprrafopredeter"/>
    <w:link w:val="Ttulo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Ttulo7Car">
    <w:name w:val="Título 7 Car"/>
    <w:basedOn w:val="Fuentedeprrafopredeter"/>
    <w:link w:val="Ttulo7"/>
    <w:uiPriority w:val="9"/>
    <w:rsid w:val="003453F7"/>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rsid w:val="003453F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Mencinsinresolver">
    <w:name w:val="Unresolved Mention"/>
    <w:basedOn w:val="Fuentedeprrafopredeter"/>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t-cy-2020-16-bc-benefits-rep-provisional/16809ef6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1283</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Javier Torres</cp:lastModifiedBy>
  <cp:revision>4</cp:revision>
  <dcterms:created xsi:type="dcterms:W3CDTF">2020-10-14T07:03:00Z</dcterms:created>
  <dcterms:modified xsi:type="dcterms:W3CDTF">2021-06-16T15:50:00Z</dcterms:modified>
</cp:coreProperties>
</file>