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4184A1BE" w:rsidR="00D82C18" w:rsidRPr="00B3608C" w:rsidRDefault="00B3608C" w:rsidP="000F7896">
      <w:pPr>
        <w:rPr>
          <w:rFonts w:ascii="Verdana" w:hAnsi="Verdana"/>
        </w:rPr>
      </w:pPr>
      <w:r>
        <w:rPr>
          <w:sz w:val="28"/>
          <w:szCs w:val="28"/>
          <w:rFonts w:ascii="Verdana" w:hAnsi="Verdana"/>
        </w:rPr>
        <w:t xml:space="preserve">Lección 2.2 (Disposiciones sustantivas del Convenio de Budapest - Parte 1)</w:t>
      </w:r>
      <w:r>
        <w:rPr>
          <w:sz w:val="28"/>
          <w:szCs w:val="28"/>
          <w:color w:val="000000" w:themeColor="text1"/>
          <w:rFonts w:ascii="Verdana" w:hAnsi="Verdana"/>
        </w:rPr>
        <w:t xml:space="preserve"> </w:t>
      </w:r>
    </w:p>
    <w:p w14:paraId="1D0E3DC5" w14:textId="77777777" w:rsidR="00C115FC" w:rsidRPr="00C115FC" w:rsidRDefault="00C115FC" w:rsidP="00C115FC">
      <w:pPr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D82C1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79C3676A" w:rsidR="00D82C18" w:rsidRPr="00D82C18" w:rsidRDefault="00C115FC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Lección 2.2 Disposiciones sustantivas del Convenio de Budapest - Parte 1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24980FBA" w:rsidR="00D82C18" w:rsidRPr="00D82C18" w:rsidRDefault="00D82C18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szCs w:val="22"/>
                <w:rFonts w:ascii="Verdana" w:hAnsi="Verdana"/>
              </w:rPr>
              <w:t xml:space="preserve">Duración:</w:t>
            </w:r>
            <w:r>
              <w:rPr>
                <w:sz w:val="22"/>
                <w:szCs w:val="22"/>
                <w:rFonts w:ascii="Verdana" w:hAnsi="Verdana"/>
              </w:rPr>
              <w:t xml:space="preserve"> </w:t>
            </w:r>
            <w:r>
              <w:rPr>
                <w:sz w:val="22"/>
                <w:szCs w:val="22"/>
                <w:color w:val="000000" w:themeColor="text1"/>
                <w:rFonts w:ascii="Verdana" w:hAnsi="Verdana"/>
              </w:rPr>
              <w:t xml:space="preserve">90 minutos</w:t>
            </w:r>
            <w:r>
              <w:rPr>
                <w:sz w:val="22"/>
                <w:szCs w:val="22"/>
                <w:color w:val="000000" w:themeColor="text1"/>
                <w:rFonts w:ascii="Verdana" w:hAnsi="Verdana"/>
              </w:rPr>
              <w:t xml:space="preserve"> </w:t>
            </w:r>
          </w:p>
        </w:tc>
      </w:tr>
      <w:tr w:rsidR="00E7344B" w:rsidRPr="00D82C18" w14:paraId="7C1107AB" w14:textId="77777777" w:rsidTr="00A439ED">
        <w:trPr>
          <w:trHeight w:val="1727"/>
        </w:trPr>
        <w:tc>
          <w:tcPr>
            <w:tcW w:w="9010" w:type="dxa"/>
            <w:gridSpan w:val="3"/>
            <w:vAlign w:val="center"/>
          </w:tcPr>
          <w:p w14:paraId="0B1C3404" w14:textId="53612A3F" w:rsidR="00E7344B" w:rsidRPr="000F7896" w:rsidRDefault="00E7344B" w:rsidP="000F7896">
            <w:pPr>
              <w:spacing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Recursos necesarios:</w:t>
            </w:r>
            <w:r>
              <w:rPr>
                <w:b/>
                <w:sz w:val="22"/>
                <w:szCs w:val="22"/>
                <w:rFonts w:ascii="Verdana" w:hAnsi="Verdana"/>
              </w:rPr>
              <w:t xml:space="preserve"> </w:t>
            </w:r>
          </w:p>
          <w:p w14:paraId="060400D8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PC/portátil cargado con versiones de software compatibles con los materiales preparados</w:t>
            </w:r>
            <w:r>
              <w:t xml:space="preserve"> </w:t>
            </w:r>
          </w:p>
          <w:p w14:paraId="62A10C2C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Acceso a Internet (si está disponible)</w:t>
            </w:r>
            <w:r>
              <w:t xml:space="preserve"> </w:t>
            </w:r>
          </w:p>
          <w:p w14:paraId="575CEC8B" w14:textId="7FC1824F" w:rsidR="000F7896" w:rsidRPr="00AC1380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PowerPoint u otra presentación</w:t>
            </w:r>
            <w:r>
              <w:t xml:space="preserve"> </w:t>
            </w:r>
          </w:p>
          <w:p w14:paraId="14CF9EF0" w14:textId="1ED885BC" w:rsidR="000F7896" w:rsidRPr="00A439ED" w:rsidRDefault="000F7896" w:rsidP="00A439ED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Copia del Convenio de Budapest</w:t>
            </w:r>
          </w:p>
        </w:tc>
      </w:tr>
      <w:tr w:rsidR="00E7344B" w:rsidRPr="00D82C18" w14:paraId="635F2EFD" w14:textId="77777777" w:rsidTr="00F1574D">
        <w:trPr>
          <w:trHeight w:val="2879"/>
        </w:trPr>
        <w:tc>
          <w:tcPr>
            <w:tcW w:w="9010" w:type="dxa"/>
            <w:gridSpan w:val="3"/>
            <w:vAlign w:val="center"/>
          </w:tcPr>
          <w:p w14:paraId="34602AF3" w14:textId="77777777" w:rsidR="00A03CF0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Propósito de la sesión:</w:t>
            </w:r>
            <w:r>
              <w:rPr>
                <w:b/>
                <w:sz w:val="22"/>
                <w:szCs w:val="22"/>
                <w:rFonts w:ascii="Verdana" w:hAnsi="Verdana"/>
              </w:rPr>
              <w:t xml:space="preserve">  </w:t>
            </w:r>
          </w:p>
          <w:p w14:paraId="3FE58655" w14:textId="75BCCF28" w:rsidR="00A03CF0" w:rsidRPr="000F7896" w:rsidRDefault="00BA7368" w:rsidP="00FA5D5D">
            <w:pPr>
              <w:spacing w:before="120" w:after="120" w:line="280" w:lineRule="exact"/>
              <w:jc w:val="both"/>
              <w:rPr>
                <w:i/>
                <w:color w:val="FF0000"/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propósito de esta sesión es que los participantes conozcan a fondo los elementos de los delitos contra la confidencialidad, la integridad y la disponibilidad de los sistemas y datos informáticos, establecidos de conformidad con el Convenio de Budapest.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sesión cubre, en detalle, cada elemento del artículo 2 (acceso ilícito), del artículo 3 (interceptación ilícita), del artículo 4 (ataques a la integridad de los datos), del artículo 5 (ataques a la integridad del sistema) y del artículo 6 (abuso de los dispositivos) del Convenio de Budapest</w:t>
            </w:r>
          </w:p>
        </w:tc>
      </w:tr>
      <w:tr w:rsidR="00A03CF0" w:rsidRPr="00D82C18" w14:paraId="1B5A80A7" w14:textId="77777777" w:rsidTr="001E7389">
        <w:trPr>
          <w:trHeight w:val="983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271010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Objetivos:</w:t>
            </w:r>
          </w:p>
          <w:p w14:paraId="7552C5F6" w14:textId="77777777" w:rsidR="000F7896" w:rsidRPr="00AC1380" w:rsidRDefault="000F7896" w:rsidP="000F7896">
            <w:pPr>
              <w:tabs>
                <w:tab w:val="left" w:pos="426"/>
                <w:tab w:val="left" w:pos="851"/>
              </w:tabs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Al final de esta sesión los delegados podrán:</w:t>
            </w:r>
          </w:p>
          <w:p w14:paraId="0C05C55A" w14:textId="264345E4" w:rsidR="008109E9" w:rsidRPr="008109E9" w:rsidRDefault="008109E9" w:rsidP="008109E9">
            <w:pPr>
              <w:pStyle w:val="bul1"/>
              <w:numPr>
                <w:ilvl w:val="0"/>
                <w:numId w:val="11"/>
              </w:numPr>
              <w:rPr>
                <w:szCs w:val="18"/>
              </w:rPr>
            </w:pPr>
            <w:r>
              <w:t xml:space="preserve">Comprender el significado de términos fundamentales como:</w:t>
            </w:r>
          </w:p>
          <w:p w14:paraId="626C3D10" w14:textId="77777777" w:rsidR="008109E9" w:rsidRPr="008109E9" w:rsidRDefault="008109E9" w:rsidP="008109E9">
            <w:pPr>
              <w:pStyle w:val="bul1"/>
              <w:numPr>
                <w:ilvl w:val="0"/>
                <w:numId w:val="13"/>
              </w:numPr>
              <w:rPr>
                <w:szCs w:val="18"/>
              </w:rPr>
            </w:pPr>
            <w:r>
              <w:t xml:space="preserve">datos informáticos</w:t>
            </w:r>
          </w:p>
          <w:p w14:paraId="5A9E1984" w14:textId="77777777" w:rsidR="008109E9" w:rsidRPr="008109E9" w:rsidRDefault="008109E9" w:rsidP="008109E9">
            <w:pPr>
              <w:pStyle w:val="bul1"/>
              <w:numPr>
                <w:ilvl w:val="0"/>
                <w:numId w:val="13"/>
              </w:numPr>
              <w:rPr>
                <w:szCs w:val="18"/>
              </w:rPr>
            </w:pPr>
            <w:r>
              <w:t xml:space="preserve">sistema informático</w:t>
            </w:r>
          </w:p>
          <w:p w14:paraId="5489BE6E" w14:textId="77777777" w:rsidR="008109E9" w:rsidRPr="008109E9" w:rsidRDefault="008109E9" w:rsidP="008109E9">
            <w:pPr>
              <w:pStyle w:val="bul1"/>
              <w:numPr>
                <w:ilvl w:val="0"/>
                <w:numId w:val="13"/>
              </w:numPr>
              <w:rPr>
                <w:szCs w:val="18"/>
              </w:rPr>
            </w:pPr>
            <w:r>
              <w:t xml:space="preserve">datos relativos al tráfico</w:t>
            </w:r>
            <w:r>
              <w:t xml:space="preserve"> </w:t>
            </w:r>
          </w:p>
          <w:p w14:paraId="00427C2C" w14:textId="459086A2" w:rsidR="008109E9" w:rsidRPr="008109E9" w:rsidRDefault="008109E9" w:rsidP="008109E9">
            <w:pPr>
              <w:pStyle w:val="bul1"/>
              <w:numPr>
                <w:ilvl w:val="0"/>
                <w:numId w:val="13"/>
              </w:numPr>
              <w:rPr>
                <w:szCs w:val="18"/>
              </w:rPr>
            </w:pPr>
            <w:r>
              <w:t xml:space="preserve">proveedor de servicios</w:t>
            </w:r>
          </w:p>
          <w:p w14:paraId="11A261E1" w14:textId="77777777" w:rsidR="008109E9" w:rsidRPr="008109E9" w:rsidRDefault="008109E9" w:rsidP="008109E9">
            <w:pPr>
              <w:pStyle w:val="bul1"/>
              <w:numPr>
                <w:ilvl w:val="0"/>
                <w:numId w:val="11"/>
              </w:numPr>
              <w:rPr>
                <w:szCs w:val="18"/>
              </w:rPr>
            </w:pPr>
            <w:r>
              <w:t xml:space="preserve">Identificar los elementos que constituyen los delitos de:</w:t>
            </w:r>
          </w:p>
          <w:p w14:paraId="3D1820D2" w14:textId="6A9BAE38" w:rsidR="008109E9" w:rsidRPr="008109E9" w:rsidRDefault="008109E9" w:rsidP="008109E9">
            <w:pPr>
              <w:pStyle w:val="bul1"/>
              <w:numPr>
                <w:ilvl w:val="0"/>
                <w:numId w:val="14"/>
              </w:numPr>
              <w:rPr>
                <w:szCs w:val="18"/>
              </w:rPr>
            </w:pPr>
            <w:r>
              <w:t xml:space="preserve">acceso ilícito</w:t>
            </w:r>
          </w:p>
          <w:p w14:paraId="63DDB248" w14:textId="12659612" w:rsidR="008109E9" w:rsidRPr="008109E9" w:rsidRDefault="008109E9" w:rsidP="008109E9">
            <w:pPr>
              <w:pStyle w:val="bul1"/>
              <w:numPr>
                <w:ilvl w:val="0"/>
                <w:numId w:val="14"/>
              </w:numPr>
              <w:rPr>
                <w:szCs w:val="18"/>
              </w:rPr>
            </w:pPr>
            <w:r>
              <w:t xml:space="preserve">interceptación ilícita</w:t>
            </w:r>
          </w:p>
          <w:p w14:paraId="1A34F177" w14:textId="17639B6F" w:rsidR="008109E9" w:rsidRPr="008109E9" w:rsidRDefault="008109E9" w:rsidP="008109E9">
            <w:pPr>
              <w:pStyle w:val="bul1"/>
              <w:numPr>
                <w:ilvl w:val="0"/>
                <w:numId w:val="14"/>
              </w:numPr>
              <w:rPr>
                <w:szCs w:val="18"/>
              </w:rPr>
            </w:pPr>
            <w:r>
              <w:t xml:space="preserve">ataques a la integridad de los datos</w:t>
            </w:r>
            <w:r>
              <w:t xml:space="preserve"> </w:t>
            </w:r>
          </w:p>
          <w:p w14:paraId="6466E398" w14:textId="5D0947A4" w:rsidR="008109E9" w:rsidRPr="008109E9" w:rsidRDefault="008109E9" w:rsidP="008109E9">
            <w:pPr>
              <w:pStyle w:val="bul1"/>
              <w:numPr>
                <w:ilvl w:val="0"/>
                <w:numId w:val="14"/>
              </w:numPr>
              <w:rPr>
                <w:szCs w:val="18"/>
              </w:rPr>
            </w:pPr>
            <w:r>
              <w:t xml:space="preserve">ataques a la integridad del sistema</w:t>
            </w:r>
            <w:r>
              <w:t xml:space="preserve"> </w:t>
            </w:r>
          </w:p>
          <w:p w14:paraId="61ABEAC5" w14:textId="664C1EE2" w:rsidR="001E7389" w:rsidRPr="008109E9" w:rsidRDefault="008109E9" w:rsidP="008109E9">
            <w:pPr>
              <w:pStyle w:val="bul1"/>
              <w:numPr>
                <w:ilvl w:val="0"/>
                <w:numId w:val="14"/>
              </w:numPr>
              <w:rPr>
                <w:szCs w:val="18"/>
              </w:rPr>
            </w:pPr>
            <w:r>
              <w:t xml:space="preserve">abuso de los dispositivos</w:t>
            </w:r>
            <w:r>
              <w:t xml:space="preserve"> </w:t>
            </w:r>
          </w:p>
        </w:tc>
      </w:tr>
      <w:tr w:rsidR="005703B7" w:rsidRPr="00D82C18" w14:paraId="03110757" w14:textId="77777777" w:rsidTr="006E7FBC">
        <w:trPr>
          <w:trHeight w:val="5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77777777" w:rsidR="005703B7" w:rsidRPr="002F3B54" w:rsidRDefault="00E95703" w:rsidP="00F62A15">
            <w:pPr>
              <w:spacing w:before="120" w:after="120" w:line="280" w:lineRule="exact"/>
              <w:rPr>
                <w:b/>
                <w:color w:val="000000" w:themeColor="text1"/>
                <w:sz w:val="22"/>
                <w:szCs w:val="22"/>
                <w:rFonts w:ascii="Verdana" w:hAnsi="Verdana"/>
              </w:rPr>
            </w:pPr>
            <w:r>
              <w:rPr>
                <w:b/>
                <w:color w:val="000000" w:themeColor="text1"/>
                <w:sz w:val="22"/>
                <w:szCs w:val="22"/>
                <w:rFonts w:ascii="Verdana" w:hAnsi="Verdana"/>
              </w:rPr>
              <w:t xml:space="preserve">Pautas para los formadores</w:t>
            </w:r>
          </w:p>
          <w:p w14:paraId="1A9EC5BE" w14:textId="77777777" w:rsidR="00020466" w:rsidRDefault="00020466" w:rsidP="00A74106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Esta sesión se ha preparado para que los delegados conozcan a fondo las definiciones contenidas en el capítulo I del Convenio de Budapest y las disposiciones de derecho sustantivo recogidas en el título 1 del capítulo II, sección 1, del Convenio de Budapest (Delitos contra la confidencialidad, la integridad y la disponibilidad de los datos y sistemas informáticos).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Esta sesión se ha dividido en seis partes, además de contener una introducción y una conclusión.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primera parte abarca las definiciones de sistema informático, datos informáticos, datos relativos al tráfico y proveedor de servicios.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segunda parte abarca el delito de acceso ilícito.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En la tercera parte se analiza el delito de la interceptación ilícita.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En la cuarta parte se analiza el delito de los ataques a la integridad de los datos.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La quinta parte abarca el delito de los ataques a la integridad del sistema.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  <w:r>
              <w:rPr>
                <w:sz w:val="18"/>
                <w:szCs w:val="18"/>
                <w:rFonts w:ascii="Verdana" w:hAnsi="Verdana"/>
              </w:rPr>
              <w:t xml:space="preserve">En la sexta parte se analiza el delito del abuso de los dispositivos.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</w:p>
          <w:p w14:paraId="5470BC1E" w14:textId="77777777" w:rsidR="00317F0F" w:rsidRDefault="00317F0F" w:rsidP="00A74106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Antes de llevar a cabo esta sesión, se recomienda que el formador revise los párrafos 22 - 78 del </w:t>
            </w:r>
            <w:hyperlink r:id="rId5" w:history="1">
              <w:r>
                <w:rPr>
                  <w:rStyle w:val="Hyperlink"/>
                  <w:sz w:val="18"/>
                  <w:szCs w:val="18"/>
                  <w:rFonts w:ascii="Verdana" w:hAnsi="Verdana"/>
                </w:rPr>
                <w:t xml:space="preserve">Informe explicativo del Convenio sobre la Ciberdelincuencia</w:t>
              </w:r>
            </w:hyperlink>
            <w:r>
              <w:rPr>
                <w:sz w:val="18"/>
                <w:szCs w:val="18"/>
                <w:rFonts w:ascii="Verdana" w:hAnsi="Verdana"/>
              </w:rPr>
              <w:t xml:space="preserve">.</w:t>
            </w:r>
          </w:p>
          <w:p w14:paraId="5EFF4BEF" w14:textId="2FFDB690" w:rsidR="004B1CB0" w:rsidRPr="00E95703" w:rsidRDefault="004B1CB0" w:rsidP="00A74106">
            <w:pPr>
              <w:spacing w:before="120" w:after="120" w:line="280" w:lineRule="exact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formador puede fomentar un debate sobre cómo se ha establecido cada una de las disposiciones que se tratan en esta sesión según el derecho nacional.</w:t>
            </w:r>
            <w:r>
              <w:rPr>
                <w:sz w:val="18"/>
                <w:szCs w:val="18"/>
                <w:rFonts w:ascii="Verdana" w:hAnsi="Verdana"/>
              </w:rPr>
              <w:t xml:space="preserve"> </w:t>
            </w:r>
          </w:p>
        </w:tc>
      </w:tr>
      <w:tr w:rsidR="005A4E47" w:rsidRPr="00D82C1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CB3026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szCs w:val="28"/>
                <w:rFonts w:ascii="Verdana" w:hAnsi="Verdana"/>
              </w:rPr>
              <w:t xml:space="preserve">Contenido de la lección</w:t>
            </w:r>
          </w:p>
        </w:tc>
      </w:tr>
      <w:tr w:rsidR="00F1574D" w:rsidRPr="00D82C1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7777777" w:rsidR="00D82C18" w:rsidRPr="00E13BE7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Números de las diapositivas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E13BE7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Contenido</w:t>
            </w:r>
          </w:p>
        </w:tc>
      </w:tr>
      <w:tr w:rsidR="00F1574D" w:rsidRPr="00D82C18" w14:paraId="11A12D7E" w14:textId="77777777" w:rsidTr="000F04E4">
        <w:trPr>
          <w:trHeight w:val="591"/>
        </w:trPr>
        <w:tc>
          <w:tcPr>
            <w:tcW w:w="1525" w:type="dxa"/>
            <w:vAlign w:val="center"/>
          </w:tcPr>
          <w:p w14:paraId="67083237" w14:textId="207A1282" w:rsidR="00D82C18" w:rsidRDefault="003630E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 a 4</w:t>
            </w:r>
          </w:p>
          <w:p w14:paraId="5A89CF27" w14:textId="6863FBB0" w:rsidR="00F1574D" w:rsidRPr="00F62A15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4EFB5D9E" w:rsidR="00556D69" w:rsidRPr="00C70C5C" w:rsidRDefault="00556D69" w:rsidP="00314D32">
            <w:pPr>
              <w:spacing w:before="120" w:after="120" w:line="360" w:lineRule="auto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szCs w:val="18"/>
                <w:rFonts w:ascii="Verdana" w:hAnsi="Verdana"/>
              </w:rPr>
              <w:t xml:space="preserve">Las diapositivas de apertura sirven de introducción a la sesión e incluyen el programa, así como las metas y los objetivos de la sesión.</w:t>
            </w:r>
            <w:r>
              <w:rPr>
                <w:color w:val="000000" w:themeColor="text1"/>
                <w:sz w:val="18"/>
                <w:szCs w:val="18"/>
                <w:rFonts w:ascii="Verdana" w:hAnsi="Verdana"/>
              </w:rPr>
              <w:t xml:space="preserve"> </w:t>
            </w:r>
          </w:p>
        </w:tc>
      </w:tr>
      <w:tr w:rsidR="00F1574D" w:rsidRPr="00D82C18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56AF6365" w14:textId="32397C50" w:rsidR="00D82C18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5 a 9</w:t>
            </w:r>
          </w:p>
          <w:p w14:paraId="6F5AEB2D" w14:textId="242338E2" w:rsidR="00F1574D" w:rsidRPr="003630ED" w:rsidRDefault="00BA7368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7C80C831" w14:textId="77777777" w:rsidR="00317F0F" w:rsidRDefault="006E7FBC" w:rsidP="00314D32">
            <w:pPr>
              <w:pStyle w:val="Subtitle"/>
              <w:spacing w:line="360" w:lineRule="auto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En estas diapositivas se explican las definiciones de los términos que figuran en el capítulo I del Convenio de Budapest, a saber, "sistema informático", "datos informáticos", "proveedor de servicios" y "datos relativos al tráfico".</w:t>
            </w:r>
            <w:r>
              <w:rPr>
                <w:rFonts w:ascii="Verdana" w:hAnsi="Verdana"/>
              </w:rPr>
              <w:t xml:space="preserve"> </w:t>
            </w:r>
          </w:p>
          <w:p w14:paraId="649FEA68" w14:textId="3AF19F42" w:rsidR="00CB3026" w:rsidRPr="00CB3026" w:rsidRDefault="00317F0F" w:rsidP="00314D32">
            <w:pPr>
              <w:pStyle w:val="Subtitle"/>
              <w:spacing w:line="360" w:lineRule="auto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Cada diapositiva se ha dividido en dos columnas.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En la columna de la izquierda se reproduce el texto del Convenio de Budapest, mientras que en la de la derecha figura una explicación de la definición.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F1574D" w:rsidRPr="00317F0F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5EBB803A" w14:textId="7365A11A" w:rsidR="00556D69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10 a 20</w:t>
            </w:r>
          </w:p>
          <w:p w14:paraId="65C32028" w14:textId="2E212042" w:rsidR="00F1574D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3680A4C1" w14:textId="77777777" w:rsidR="00394BB8" w:rsidRPr="00394BB8" w:rsidRDefault="00317F0F" w:rsidP="00394BB8">
            <w:pPr>
              <w:pStyle w:val="Subtitle"/>
              <w:spacing w:line="360" w:lineRule="auto"/>
              <w:rPr>
                <w:iCs w:val="0"/>
                <w:color w:val="auto"/>
                <w:szCs w:val="18"/>
                <w:rFonts w:ascii="Verdana" w:eastAsiaTheme="minorHAnsi" w:hAnsi="Verdana" w:cstheme="minorBidi"/>
              </w:rPr>
            </w:pPr>
            <w:r>
              <w:rPr>
                <w:szCs w:val="18"/>
                <w:rFonts w:ascii="Verdana" w:hAnsi="Verdana"/>
              </w:rPr>
              <w:t xml:space="preserve">En estas diapositivas se explica el delito de acceso ilícito, previsto en el artículo 2 del Convenio de Budapest.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  <w:p w14:paraId="754947F3" w14:textId="66AD8A26" w:rsidR="00394BB8" w:rsidRPr="00394BB8" w:rsidRDefault="00394BB8" w:rsidP="00394BB8">
            <w:pPr>
              <w:pStyle w:val="Subtitle"/>
              <w:spacing w:line="360" w:lineRule="auto"/>
              <w:rPr>
                <w:iCs w:val="0"/>
                <w:color w:val="auto"/>
                <w:szCs w:val="18"/>
                <w:rFonts w:ascii="Verdana" w:eastAsiaTheme="minorHAnsi" w:hAnsi="Verdana" w:cstheme="minorBidi"/>
              </w:rPr>
            </w:pPr>
            <w:r>
              <w:rPr>
                <w:iCs w:val="0"/>
                <w:color w:val="auto"/>
                <w:szCs w:val="18"/>
                <w:rFonts w:ascii="Verdana" w:hAnsi="Verdana"/>
              </w:rPr>
              <w:t xml:space="preserve">La primera serie de diapositivas ofrece un resumen de los principales elementos del artículo 2 del Convenio de Budapest.</w:t>
            </w:r>
            <w:r>
              <w:rPr>
                <w:iCs w:val="0"/>
                <w:color w:val="auto"/>
                <w:szCs w:val="18"/>
                <w:rFonts w:ascii="Verdana" w:hAnsi="Verdana"/>
              </w:rPr>
              <w:t xml:space="preserve"> </w:t>
            </w:r>
            <w:r>
              <w:rPr>
                <w:iCs w:val="0"/>
                <w:color w:val="auto"/>
                <w:szCs w:val="18"/>
                <w:rFonts w:ascii="Verdana" w:hAnsi="Verdana"/>
              </w:rPr>
              <w:t xml:space="preserve">También se presentan dos estudios de caso sobre dicho delito en diferentes países.</w:t>
            </w:r>
          </w:p>
          <w:p w14:paraId="09B58FC0" w14:textId="76A0B5A4" w:rsidR="00C70C5C" w:rsidRPr="00317F0F" w:rsidRDefault="0044155B" w:rsidP="00394BB8">
            <w:pPr>
              <w:pStyle w:val="Subtitle"/>
              <w:spacing w:line="360" w:lineRule="auto"/>
              <w:rPr>
                <w:szCs w:val="18"/>
                <w:rFonts w:ascii="Verdana" w:hAnsi="Verdana"/>
              </w:rPr>
            </w:pPr>
            <w:r>
              <w:rPr>
                <w:szCs w:val="18"/>
                <w:rFonts w:ascii="Verdana" w:hAnsi="Verdana"/>
              </w:rPr>
              <w:t xml:space="preserve">El resto de las diapositivas muestran la información en dos columnas.</w:t>
            </w:r>
            <w:r>
              <w:rPr>
                <w:szCs w:val="18"/>
                <w:rFonts w:ascii="Verdana" w:hAnsi="Verdana"/>
              </w:rPr>
              <w:t xml:space="preserve"> </w:t>
            </w:r>
            <w:r>
              <w:rPr>
                <w:szCs w:val="18"/>
                <w:rFonts w:ascii="Verdana" w:hAnsi="Verdana"/>
              </w:rPr>
              <w:t xml:space="preserve">En la columna de la izquierda se reproduce el texto del artículo 2 del Convenio de Budapest con un elemento específico resaltado, mientras que en la columna de la derecha se ofrece una explicación de dicho elemento.</w:t>
            </w:r>
            <w:r>
              <w:rPr>
                <w:szCs w:val="18"/>
                <w:rFonts w:ascii="Verdana" w:hAnsi="Verdana"/>
              </w:rPr>
              <w:t xml:space="preserve"> </w:t>
            </w:r>
            <w:r>
              <w:rPr>
                <w:szCs w:val="18"/>
                <w:rFonts w:ascii="Verdana" w:hAnsi="Verdana"/>
              </w:rPr>
              <w:t xml:space="preserve">Se espera que el formador repase cada uno de los elementos para que los delegados comprendan perfectamente el artículo 2 del Convenio de Budapest.</w:t>
            </w:r>
            <w:r>
              <w:rPr>
                <w:szCs w:val="18"/>
                <w:rFonts w:ascii="Verdana" w:hAnsi="Verdana"/>
              </w:rPr>
              <w:t xml:space="preserve"> </w:t>
            </w:r>
          </w:p>
        </w:tc>
      </w:tr>
      <w:tr w:rsidR="00F1574D" w:rsidRPr="00D82C18" w14:paraId="4F010995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15E808BA" w14:textId="5DF110AA" w:rsidR="00556D69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21 a 31</w:t>
            </w:r>
          </w:p>
          <w:p w14:paraId="48504862" w14:textId="307D4B02" w:rsidR="00C70C5C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69D19EF7" w14:textId="7F7014D6" w:rsidR="0044155B" w:rsidRPr="0044155B" w:rsidRDefault="0044155B" w:rsidP="006B1F8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En estas diapositivas se explica el delito de la interceptación ilícita, previsto en el artículo 3 del Convenio de Budapest.</w:t>
            </w:r>
            <w:r>
              <w:rPr>
                <w:rFonts w:ascii="Verdana" w:hAnsi="Verdana"/>
              </w:rPr>
              <w:t xml:space="preserve"> </w:t>
            </w:r>
          </w:p>
          <w:p w14:paraId="29CC5D32" w14:textId="697DF4B2" w:rsidR="0044155B" w:rsidRPr="0044155B" w:rsidRDefault="0044155B" w:rsidP="006B1F8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La primera serie de diapositivas ofrece un resumen de los principales elementos del artículo 3 del Convenio de Budapest.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También se presentan dos estudios de caso sobre dicho delito en diferentes países.</w:t>
            </w:r>
          </w:p>
          <w:p w14:paraId="4AF5B3D7" w14:textId="2FB11A96" w:rsidR="00C70C5C" w:rsidRPr="00C70C5C" w:rsidRDefault="0044155B" w:rsidP="006B1F8C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El resto de las diapositivas muestran la información en dos columnas.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En la columna de la izquierda se reproduce el texto del artículo 3 del Convenio de Budapest con un elemento específico resaltado, mientras que en la columna de la derecha se ofrece una explicación de dicho elemento.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Se espera que el formador repase cada uno de los elementos para que los delegados comprendan perfectamente el artículo 3 del Convenio de Budapest.</w:t>
            </w:r>
          </w:p>
        </w:tc>
      </w:tr>
      <w:tr w:rsidR="00F1574D" w:rsidRPr="00D82C18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1D843CBC" w14:textId="2525E066" w:rsidR="00556D69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32 a 41</w:t>
            </w:r>
          </w:p>
          <w:p w14:paraId="00098EC4" w14:textId="009BEBF1" w:rsidR="00F1574D" w:rsidRPr="003F6587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1053A814" w14:textId="70CD511C" w:rsidR="006B1F8C" w:rsidRPr="0044155B" w:rsidRDefault="006B1F8C" w:rsidP="006B1F8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En estas diapositivas se explica el delito de los ataques a la integridad de los datos, previsto en el artículo 4 del Convenio de Budapest.</w:t>
            </w:r>
            <w:r>
              <w:rPr>
                <w:rFonts w:ascii="Verdana" w:hAnsi="Verdana"/>
              </w:rPr>
              <w:t xml:space="preserve"> </w:t>
            </w:r>
          </w:p>
          <w:p w14:paraId="7463BA10" w14:textId="6F0476D0" w:rsidR="006B1F8C" w:rsidRPr="0044155B" w:rsidRDefault="006B1F8C" w:rsidP="006B1F8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La primera serie de diapositivas ofrece un resumen de los principales elementos del artículo 4 del Convenio de Budapest.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En estas diapositivas también se presenta el estudio de caso de un hombre australiano que fue juzgado por la presunta comisión de un delito de ataques a la integridad de los datos.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Además, en las diapositivas aparece una foto de un caballo de Troya, que el formador puede utilizar para explicar cómo los troyanos se pueden utilizar para cometer el delito de ataques a la integridad de los datos.</w:t>
            </w:r>
          </w:p>
          <w:p w14:paraId="09B693A1" w14:textId="15F6C6AC" w:rsidR="00556D69" w:rsidRPr="006527C6" w:rsidRDefault="006B1F8C" w:rsidP="006B1F8C">
            <w:pPr>
              <w:spacing w:after="120"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El resto de las diapositivas muestran la información en dos columnas.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En la columna de la izquierda se reproduce el texto del artículo 4 del Convenio de Budapest con un elemento específico resaltado, mientras que en la columna de la derecha se ofrece una explicación de dicho elemento.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Se espera que el formador repase cada uno de los elementos para que los delegados comprendan perfectamente el artículo 4 del Convenio de Budapest.</w:t>
            </w:r>
          </w:p>
        </w:tc>
      </w:tr>
      <w:tr w:rsidR="006B3820" w:rsidRPr="00D82C18" w14:paraId="7889FCA6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5F0CB5BC" w14:textId="7F264D37" w:rsidR="006B3820" w:rsidRDefault="006B3820" w:rsidP="006B382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42 a 52</w:t>
            </w:r>
          </w:p>
          <w:p w14:paraId="49D80A1F" w14:textId="05A4CEA2" w:rsidR="006B3820" w:rsidRDefault="006B3820" w:rsidP="006B382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60E22768" w14:textId="2682031D" w:rsidR="00EF6868" w:rsidRPr="0044155B" w:rsidRDefault="00EF6868" w:rsidP="00EF6868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En estas diapositivas se explica el delito de los ataques a la integridad del sistema, previsto en el artículo 5 del Convenio de Budapest.</w:t>
            </w:r>
            <w:r>
              <w:rPr>
                <w:rFonts w:ascii="Verdana" w:hAnsi="Verdana"/>
              </w:rPr>
              <w:t xml:space="preserve"> </w:t>
            </w:r>
          </w:p>
          <w:p w14:paraId="5F0EA70F" w14:textId="4320E7A8" w:rsidR="00EF6868" w:rsidRPr="0044155B" w:rsidRDefault="00EF6868" w:rsidP="00EF6868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La primera serie de diapositivas ofrece un resumen de los principales elementos del artículo 5 del Convenio de Budapest.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Estas diapositivas incluyen algunas imágenes que se pueden utilizar para atraer el interés de los delegados - que tratan de comparar los sistemas de telecomunicaciones con Internet, para proporcionar algo de contexto sobre los ataques DDoS - un tipo de ataques a la integridad del sistema.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En estas diapositivas también se incluye el estudio de caso de un hombre condenado a seis años de prisión por cometer el delito de ataques a la integridad del sistema.</w:t>
            </w:r>
            <w:r>
              <w:rPr>
                <w:rFonts w:ascii="Verdana" w:hAnsi="Verdana"/>
              </w:rPr>
              <w:t xml:space="preserve"> </w:t>
            </w:r>
          </w:p>
          <w:p w14:paraId="00091C29" w14:textId="1A840EB0" w:rsidR="006B3820" w:rsidRDefault="00EF6868" w:rsidP="00EF6868">
            <w:pPr>
              <w:spacing w:after="120"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El resto de las diapositivas muestran la información en dos columnas.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En la columna de la izquierda se reproduce el texto del artículo 5 del Convenio de Budapest con un elemento específico resaltado, mientras que en la columna de la derecha se ofrece una explicación de dicho elemento.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Se espera que el formador repase cada uno de los elementos para que los delegados comprendan perfectamente el artículo 5 del Convenio de Budapest.</w:t>
            </w:r>
          </w:p>
        </w:tc>
      </w:tr>
      <w:tr w:rsidR="006B3820" w:rsidRPr="00D82C18" w14:paraId="22522EB3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7B6D384E" w14:textId="240264F8" w:rsidR="006B3820" w:rsidRDefault="006B3820" w:rsidP="006B382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53 a 66</w:t>
            </w:r>
          </w:p>
          <w:p w14:paraId="40F04CE8" w14:textId="2815F5F5" w:rsidR="006B3820" w:rsidRDefault="006B3820" w:rsidP="006B3820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obligatorias</w:t>
            </w:r>
          </w:p>
        </w:tc>
        <w:tc>
          <w:tcPr>
            <w:tcW w:w="7485" w:type="dxa"/>
            <w:gridSpan w:val="2"/>
            <w:vAlign w:val="center"/>
          </w:tcPr>
          <w:p w14:paraId="74F4491F" w14:textId="5EB0F7EB" w:rsidR="007F38AC" w:rsidRPr="0044155B" w:rsidRDefault="007F38AC" w:rsidP="007F38A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En estas diapositivas se explica el delito de abuso de los dispositivos, previsto en el artículo 6 del Convenio de Budapest.</w:t>
            </w:r>
            <w:r>
              <w:rPr>
                <w:rFonts w:ascii="Verdana" w:hAnsi="Verdana"/>
              </w:rPr>
              <w:t xml:space="preserve"> </w:t>
            </w:r>
          </w:p>
          <w:p w14:paraId="5AA62AEA" w14:textId="640B1228" w:rsidR="007F38AC" w:rsidRPr="0044155B" w:rsidRDefault="007F38AC" w:rsidP="007F38AC">
            <w:pPr>
              <w:pStyle w:val="Subtitle"/>
              <w:rPr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La primera serie de diapositivas ofrece un resumen de los principales elementos del artículo 6 del Convenio de Budapest.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Estas diapositivas incluyen algunas imágenes de dispositivos para la clonación de tarjetas, que son una manifestación común del delito del abuso de los dispositivos.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Estas diapositivas también presentan dos estudios de caso sobre el delito del abuso de los dispositivos.</w:t>
            </w:r>
            <w:r>
              <w:rPr>
                <w:rFonts w:ascii="Verdana" w:hAnsi="Verdana"/>
              </w:rPr>
              <w:t xml:space="preserve"> </w:t>
            </w:r>
          </w:p>
          <w:p w14:paraId="5DC3243D" w14:textId="4D0EC159" w:rsidR="006B3820" w:rsidRDefault="007F38AC" w:rsidP="007F38AC">
            <w:pPr>
              <w:spacing w:after="120"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El resto de las diapositivas muestran la información en dos columnas.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En la columna de la izquierda se reproduce el texto del artículo 6 del Convenio de Budapest con un elemento específico resaltado, mientras que en la columna de la derecha se ofrece una explicación de dicho elemento.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iCs/>
                <w:color w:val="000000" w:themeColor="text1"/>
                <w:sz w:val="18"/>
                <w:rFonts w:ascii="Verdana" w:hAnsi="Verdana"/>
              </w:rPr>
              <w:t xml:space="preserve">Se espera que el formador repase cada uno de los elementos para que los delegados comprendan perfectamente el artículo 6 del Convenio de Budapest.</w:t>
            </w:r>
          </w:p>
        </w:tc>
      </w:tr>
      <w:tr w:rsidR="00F1574D" w:rsidRPr="00D82C18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A87A945" w14:textId="60A69482" w:rsidR="00556D69" w:rsidRDefault="006B3820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67 a 68</w:t>
            </w:r>
          </w:p>
          <w:p w14:paraId="5DE9D224" w14:textId="2175AE8F" w:rsidR="00F1574D" w:rsidRPr="006527C6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Diapositivas importantes</w:t>
            </w:r>
          </w:p>
        </w:tc>
        <w:tc>
          <w:tcPr>
            <w:tcW w:w="7485" w:type="dxa"/>
            <w:gridSpan w:val="2"/>
            <w:vAlign w:val="center"/>
          </w:tcPr>
          <w:p w14:paraId="6E2FA816" w14:textId="1AB02424" w:rsidR="00314D32" w:rsidRPr="00314D32" w:rsidRDefault="006527C6" w:rsidP="00314D32">
            <w:pPr>
              <w:pStyle w:val="Subtitle"/>
              <w:spacing w:line="360" w:lineRule="auto"/>
            </w:pPr>
            <w:r>
              <w:rPr>
                <w:szCs w:val="18"/>
                <w:rFonts w:ascii="Verdana" w:hAnsi="Verdana"/>
              </w:rPr>
              <w:t xml:space="preserve">Con estas diapositivas se cierra la sesión, se recapitula el contenido y se da la oportunidad a los delegados de formular preguntas para aclarar dudas.</w:t>
            </w:r>
          </w:p>
        </w:tc>
      </w:tr>
      <w:tr w:rsidR="00CB3026" w:rsidRPr="00D82C1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Ejercicios prácticos</w:t>
            </w:r>
          </w:p>
          <w:p w14:paraId="04D65D89" w14:textId="53DBD58E" w:rsidR="00CB3026" w:rsidRPr="00CB3026" w:rsidRDefault="009B4375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szCs w:val="18"/>
                <w:rFonts w:ascii="Verdana" w:hAnsi="Verdana"/>
              </w:rPr>
              <w:t xml:space="preserve">Esta lección no incluye ejercicios prácticos.</w:t>
            </w:r>
          </w:p>
        </w:tc>
      </w:tr>
      <w:tr w:rsidR="00CB3026" w:rsidRPr="00D82C1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szCs w:val="22"/>
                <w:rFonts w:ascii="Verdana" w:hAnsi="Verdana"/>
              </w:rPr>
              <w:t xml:space="preserve">Evaluación/comprobación de conocimientos</w:t>
            </w:r>
          </w:p>
          <w:p w14:paraId="4496975B" w14:textId="1B3740FD" w:rsidR="00CB3026" w:rsidRPr="00CB3026" w:rsidRDefault="00CB3026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szCs w:val="18"/>
                <w:rFonts w:ascii="Verdana" w:hAnsi="Verdana"/>
              </w:rPr>
              <w:t xml:space="preserve">No se ha solicitado que se comprueben o evalúen los conocimientos impartidos en esta sesión.</w:t>
            </w:r>
          </w:p>
        </w:tc>
      </w:tr>
    </w:tbl>
    <w:p w14:paraId="15498912" w14:textId="77777777" w:rsidR="00D82C18" w:rsidRPr="00D82C18" w:rsidRDefault="00D82C18">
      <w:pPr>
        <w:rPr>
          <w:rFonts w:ascii="Verdana" w:hAnsi="Verdana"/>
        </w:rPr>
      </w:pPr>
    </w:p>
    <w:sectPr w:rsidR="00D82C18" w:rsidRPr="00D82C18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39ED7182"/>
    <w:multiLevelType w:val="hybridMultilevel"/>
    <w:tmpl w:val="AE0A4102"/>
    <w:lvl w:ilvl="0" w:tplc="BA943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5B1088"/>
    <w:multiLevelType w:val="hybridMultilevel"/>
    <w:tmpl w:val="D0F02118"/>
    <w:lvl w:ilvl="0" w:tplc="0F5A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E9598">
      <w:numFmt w:val="none"/>
      <w:lvlText w:val=""/>
      <w:lvlJc w:val="left"/>
      <w:pPr>
        <w:tabs>
          <w:tab w:val="num" w:pos="360"/>
        </w:tabs>
      </w:pPr>
    </w:lvl>
    <w:lvl w:ilvl="2" w:tplc="69A2C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6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41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23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CB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6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E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7E95"/>
    <w:multiLevelType w:val="hybridMultilevel"/>
    <w:tmpl w:val="669CC7C2"/>
    <w:lvl w:ilvl="0" w:tplc="4D6A5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E26929"/>
    <w:multiLevelType w:val="hybridMultilevel"/>
    <w:tmpl w:val="3D101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2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020466"/>
    <w:rsid w:val="00051376"/>
    <w:rsid w:val="000C40EE"/>
    <w:rsid w:val="000D0409"/>
    <w:rsid w:val="000F04E4"/>
    <w:rsid w:val="000F7896"/>
    <w:rsid w:val="001D603D"/>
    <w:rsid w:val="001E7389"/>
    <w:rsid w:val="00207B05"/>
    <w:rsid w:val="00271010"/>
    <w:rsid w:val="002E3ECE"/>
    <w:rsid w:val="002F3B54"/>
    <w:rsid w:val="00314D32"/>
    <w:rsid w:val="00317F0F"/>
    <w:rsid w:val="0034224C"/>
    <w:rsid w:val="00342639"/>
    <w:rsid w:val="003453F7"/>
    <w:rsid w:val="003630ED"/>
    <w:rsid w:val="00372572"/>
    <w:rsid w:val="00394BB8"/>
    <w:rsid w:val="003A435F"/>
    <w:rsid w:val="003F6587"/>
    <w:rsid w:val="00437AF3"/>
    <w:rsid w:val="0044155B"/>
    <w:rsid w:val="00450007"/>
    <w:rsid w:val="00457DD3"/>
    <w:rsid w:val="004B1CB0"/>
    <w:rsid w:val="004B7351"/>
    <w:rsid w:val="00514FE0"/>
    <w:rsid w:val="00556D69"/>
    <w:rsid w:val="005703B7"/>
    <w:rsid w:val="005A4E47"/>
    <w:rsid w:val="005D4432"/>
    <w:rsid w:val="006527C6"/>
    <w:rsid w:val="00671ADF"/>
    <w:rsid w:val="006B0B52"/>
    <w:rsid w:val="006B1F8C"/>
    <w:rsid w:val="006B3820"/>
    <w:rsid w:val="006E7FBC"/>
    <w:rsid w:val="0075334E"/>
    <w:rsid w:val="007678A6"/>
    <w:rsid w:val="007E3B3E"/>
    <w:rsid w:val="007F38AC"/>
    <w:rsid w:val="008109E9"/>
    <w:rsid w:val="00844FBF"/>
    <w:rsid w:val="008817F1"/>
    <w:rsid w:val="008A4C93"/>
    <w:rsid w:val="008C3900"/>
    <w:rsid w:val="008E3FE7"/>
    <w:rsid w:val="00906F18"/>
    <w:rsid w:val="00951791"/>
    <w:rsid w:val="009B4375"/>
    <w:rsid w:val="009B55D1"/>
    <w:rsid w:val="009D1DB1"/>
    <w:rsid w:val="009E1390"/>
    <w:rsid w:val="009E3827"/>
    <w:rsid w:val="009F336B"/>
    <w:rsid w:val="00A03CF0"/>
    <w:rsid w:val="00A342ED"/>
    <w:rsid w:val="00A4110D"/>
    <w:rsid w:val="00A439ED"/>
    <w:rsid w:val="00A55067"/>
    <w:rsid w:val="00A734A5"/>
    <w:rsid w:val="00A74106"/>
    <w:rsid w:val="00A76996"/>
    <w:rsid w:val="00A94D8B"/>
    <w:rsid w:val="00AA5742"/>
    <w:rsid w:val="00AC1380"/>
    <w:rsid w:val="00AC45A8"/>
    <w:rsid w:val="00B3608C"/>
    <w:rsid w:val="00B95935"/>
    <w:rsid w:val="00BA7368"/>
    <w:rsid w:val="00BF19D0"/>
    <w:rsid w:val="00C115FC"/>
    <w:rsid w:val="00C338F6"/>
    <w:rsid w:val="00C541A2"/>
    <w:rsid w:val="00C70C5C"/>
    <w:rsid w:val="00CB02C4"/>
    <w:rsid w:val="00CB3026"/>
    <w:rsid w:val="00CC1F79"/>
    <w:rsid w:val="00CE2BCA"/>
    <w:rsid w:val="00D82C18"/>
    <w:rsid w:val="00E13BE7"/>
    <w:rsid w:val="00E7344B"/>
    <w:rsid w:val="00E95703"/>
    <w:rsid w:val="00EF6868"/>
    <w:rsid w:val="00F1574D"/>
    <w:rsid w:val="00F504D6"/>
    <w:rsid w:val="00F62A15"/>
    <w:rsid w:val="00F955B5"/>
    <w:rsid w:val="00FA5D5D"/>
    <w:rsid w:val="00FB24E8"/>
    <w:rsid w:val="00FB6DE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es-ES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es-ES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9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6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9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7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9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9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1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5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0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m.coe.int/16802fa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Abbas Lotia</cp:lastModifiedBy>
  <cp:revision>16</cp:revision>
  <dcterms:created xsi:type="dcterms:W3CDTF">2020-09-27T19:05:00Z</dcterms:created>
  <dcterms:modified xsi:type="dcterms:W3CDTF">2020-10-14T14:40:00Z</dcterms:modified>
</cp:coreProperties>
</file>