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E6F1" w14:textId="119961CB" w:rsidR="00151ADF" w:rsidRPr="00151ADF" w:rsidRDefault="00B71D66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b/>
          <w:sz w:val="32"/>
          <w:szCs w:val="32"/>
          <w:rFonts w:ascii="Verdana" w:hAnsi="Verdana"/>
        </w:rPr>
        <w:t xml:space="preserve">Plan de la lección</w:t>
      </w:r>
      <w:r>
        <w:rPr>
          <w:b/>
          <w:sz w:val="32"/>
          <w:szCs w:val="32"/>
          <w:rFonts w:ascii="Verdana" w:hAnsi="Verdana"/>
        </w:rPr>
        <w:t xml:space="preserve"> </w:t>
      </w:r>
    </w:p>
    <w:p w14:paraId="297047B4" w14:textId="77777777" w:rsidR="00B71D66" w:rsidRPr="003406F3" w:rsidRDefault="00B71D66" w:rsidP="00B71D66">
      <w:pPr>
        <w:pStyle w:val="ListParagraph"/>
        <w:ind w:left="360"/>
        <w:rPr>
          <w:rFonts w:ascii="Verdana" w:hAnsi="Verdana"/>
        </w:rPr>
      </w:pPr>
    </w:p>
    <w:p w14:paraId="6857C56D" w14:textId="2FACC1F3" w:rsidR="00D82C18" w:rsidRPr="00151ADF" w:rsidRDefault="00D82C18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sz w:val="28"/>
          <w:szCs w:val="28"/>
          <w:rFonts w:ascii="Verdana" w:hAnsi="Verdana"/>
        </w:rPr>
        <w:t xml:space="preserve">Lección 3.x (Conceptos básicos sobre la cooperación internacional)</w:t>
      </w:r>
    </w:p>
    <w:p w14:paraId="0A3DD02D" w14:textId="77777777" w:rsidR="00D82C18" w:rsidRPr="003406F3" w:rsidRDefault="00D82C18" w:rsidP="00B71D66">
      <w:pPr>
        <w:ind w:left="72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711"/>
        <w:gridCol w:w="2684"/>
      </w:tblGrid>
      <w:tr w:rsidR="003406F3" w:rsidRPr="003406F3" w14:paraId="58A3485E" w14:textId="77777777" w:rsidTr="00CB3026">
        <w:trPr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71F23E76" w:rsidR="00D82C18" w:rsidRPr="003406F3" w:rsidRDefault="00D82C18" w:rsidP="00397FEA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Lección 3.x (Conceptos básicos sobre la cooperación internacional)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5B39022F" w:rsidR="00D82C18" w:rsidRPr="003406F3" w:rsidRDefault="00D82C18" w:rsidP="006B6864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Duración:</w:t>
            </w:r>
            <w:r>
              <w:rPr>
                <w:sz w:val="22"/>
                <w:szCs w:val="22"/>
                <w:rFonts w:ascii="Verdana" w:hAnsi="Verdana"/>
              </w:rPr>
              <w:t xml:space="preserve"> </w:t>
            </w:r>
            <w:r>
              <w:rPr>
                <w:sz w:val="22"/>
                <w:szCs w:val="22"/>
                <w:rFonts w:ascii="Verdana" w:hAnsi="Verdana"/>
              </w:rPr>
              <w:t xml:space="preserve">90 minutos</w:t>
            </w:r>
          </w:p>
        </w:tc>
      </w:tr>
      <w:tr w:rsidR="003406F3" w:rsidRPr="003406F3" w14:paraId="7C1107AB" w14:textId="77777777" w:rsidTr="00B569A5">
        <w:trPr>
          <w:trHeight w:val="1025"/>
        </w:trPr>
        <w:tc>
          <w:tcPr>
            <w:tcW w:w="9010" w:type="dxa"/>
            <w:gridSpan w:val="3"/>
            <w:vAlign w:val="center"/>
          </w:tcPr>
          <w:p w14:paraId="54042637" w14:textId="5D5B0179" w:rsidR="00E7344B" w:rsidRPr="003406F3" w:rsidRDefault="00E7344B" w:rsidP="005951B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Recursos necesarios:</w:t>
            </w:r>
          </w:p>
          <w:p w14:paraId="3E3ADEA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PC/portátil cargado con versiones de software compatibles con los materiales preparados</w:t>
            </w:r>
          </w:p>
          <w:p w14:paraId="737B876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Proyector y pantalla.</w:t>
            </w:r>
          </w:p>
          <w:p w14:paraId="6505534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Acceso a Internet (si está disponible).</w:t>
            </w:r>
            <w:r>
              <w:t xml:space="preserve"> </w:t>
            </w:r>
          </w:p>
          <w:p w14:paraId="14CF9EF0" w14:textId="73EC6711" w:rsidR="00E7344B" w:rsidRPr="003406F3" w:rsidRDefault="00E7344B" w:rsidP="00B569A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i/>
                <w:szCs w:val="18"/>
              </w:rPr>
            </w:pPr>
            <w:r>
              <w:t xml:space="preserve">Papel y bolígrafos para estudiantes.</w:t>
            </w:r>
          </w:p>
        </w:tc>
      </w:tr>
      <w:tr w:rsidR="003406F3" w:rsidRPr="003406F3" w14:paraId="635F2EFD" w14:textId="77777777" w:rsidTr="00B569A5">
        <w:trPr>
          <w:trHeight w:val="1241"/>
        </w:trPr>
        <w:tc>
          <w:tcPr>
            <w:tcW w:w="9010" w:type="dxa"/>
            <w:gridSpan w:val="3"/>
            <w:vAlign w:val="center"/>
          </w:tcPr>
          <w:p w14:paraId="34602AF3" w14:textId="1EB448F3" w:rsidR="00A03CF0" w:rsidRPr="003406F3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Propósito de la sesión:</w:t>
            </w:r>
            <w:r>
              <w:rPr>
                <w:b/>
                <w:sz w:val="22"/>
                <w:szCs w:val="22"/>
                <w:rFonts w:ascii="Verdana" w:hAnsi="Verdana"/>
              </w:rPr>
              <w:t xml:space="preserve">  </w:t>
            </w:r>
          </w:p>
          <w:p w14:paraId="3FE58655" w14:textId="5B024F45" w:rsidR="00A03CF0" w:rsidRPr="003406F3" w:rsidRDefault="007B75A9" w:rsidP="005112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propósito general de esta sesión es que los delegados conozcan a fondo los mecanismos de cooperación internacional en materia de ciberdelincuencia y pruebas electrónicas, centrándose en las disposiciones del Convenio de Budapest.</w:t>
            </w:r>
          </w:p>
        </w:tc>
      </w:tr>
      <w:tr w:rsidR="003406F3" w:rsidRPr="003406F3" w14:paraId="1B5A80A7" w14:textId="77777777" w:rsidTr="00B569A5">
        <w:trPr>
          <w:trHeight w:val="2240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3406F3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Objetivos:</w:t>
            </w:r>
          </w:p>
          <w:p w14:paraId="3BEE7864" w14:textId="77777777" w:rsidR="005703B7" w:rsidRPr="003406F3" w:rsidRDefault="005703B7" w:rsidP="00CB3026">
            <w:pPr>
              <w:tabs>
                <w:tab w:val="left" w:pos="426"/>
                <w:tab w:val="left" w:pos="851"/>
              </w:tabs>
              <w:spacing w:before="120" w:after="120" w:line="280" w:lineRule="exact"/>
              <w:contextualSpacing/>
              <w:jc w:val="both"/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Al final de la lección los alumnos podrán:</w:t>
            </w:r>
          </w:p>
          <w:p w14:paraId="468D77E8" w14:textId="3360A75B" w:rsidR="005703B7" w:rsidRPr="003406F3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Reconocer la dimensión mundial de Internet y la dimensión internacional de la ciberdelincuencia</w:t>
            </w:r>
          </w:p>
          <w:p w14:paraId="3C3DE87B" w14:textId="54FBA29A" w:rsidR="005703B7" w:rsidRPr="003406F3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Explicar la importancia de la cooperación internacional y reconocer los instrumentos disponibles para la cooperación internacional en el ámbito de la ciberdelincuencia</w:t>
            </w:r>
          </w:p>
          <w:p w14:paraId="23100547" w14:textId="77777777" w:rsidR="00E95703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i/>
                <w:szCs w:val="18"/>
              </w:rPr>
            </w:pPr>
            <w:r>
              <w:t xml:space="preserve">Detectar la necesidad de disponer de canales muy rápidos y eficientes para la cooperación internacional y los instrumentos disponibles, las formas de utilizarlos, los plazos y la eficacia</w:t>
            </w:r>
          </w:p>
          <w:p w14:paraId="0524678D" w14:textId="77777777" w:rsidR="0051122C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Describir los esfuerzos de las organizaciones internacionales en relación con la aplicación de nuevas modalidades de cooperación internacional</w:t>
            </w:r>
          </w:p>
          <w:p w14:paraId="61ABEAC5" w14:textId="13C91BE0" w:rsidR="0051122C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Discutir el Convenio de Budapest sobre la Ciberdelincuencia, e identificar sus principios generales, las medidas provisionales y la red 24/7 para la cooperación internacional urgente.</w:t>
            </w:r>
          </w:p>
        </w:tc>
      </w:tr>
      <w:tr w:rsidR="003406F3" w:rsidRPr="003406F3" w14:paraId="03110757" w14:textId="77777777" w:rsidTr="00B569A5">
        <w:trPr>
          <w:trHeight w:val="1475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3F0CE4F6" w:rsidR="005703B7" w:rsidRPr="003406F3" w:rsidRDefault="00E95703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Pautas para los formadores</w:t>
            </w:r>
          </w:p>
          <w:p w14:paraId="5EFF4BEF" w14:textId="70DA5991" w:rsidR="007B75A9" w:rsidRPr="003406F3" w:rsidRDefault="00B569A5" w:rsidP="009407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Esta sesión se ha preparado con el fin de que los delegados conozcan a fondo los mecanismos de cooperación internacional relacionados con la ciberdelincuencia y las pruebas electrónicas.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Esta sesión se ha dividido en cinco partes, además de contener una introducción y una conclusión.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primera parte abarca la dimensión internacional de la ciberdelincuencia.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segunda parte abarca el Convenio sobre la Ciberdelincuencia y su relación con las herramientas de cooperación internacional.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tercera parte ofrece una introducción a los aspectos generales de la cooperación internacional del Convenio de Budapest.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cuarta parte ofrece una introducción a los aspectos específicos de la cooperación internacional del Convenio de Budapest.</w:t>
            </w:r>
          </w:p>
        </w:tc>
      </w:tr>
      <w:tr w:rsidR="003406F3" w:rsidRPr="003406F3" w14:paraId="7760520D" w14:textId="77777777" w:rsidTr="00E13BE7">
        <w:trPr>
          <w:trHeight w:val="701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3406F3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szCs w:val="28"/>
                <w:rFonts w:ascii="Verdana" w:hAnsi="Verdana"/>
              </w:rPr>
              <w:t xml:space="preserve">Contenido de la lección</w:t>
            </w:r>
          </w:p>
        </w:tc>
      </w:tr>
      <w:tr w:rsidR="003406F3" w:rsidRPr="003406F3" w14:paraId="57CC7AA4" w14:textId="77777777" w:rsidTr="00CB3026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538C338" w14:textId="77777777" w:rsidR="00D82C18" w:rsidRPr="003406F3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Números de las diapositivas</w:t>
            </w:r>
          </w:p>
        </w:tc>
        <w:tc>
          <w:tcPr>
            <w:tcW w:w="739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3406F3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Contenido</w:t>
            </w:r>
          </w:p>
        </w:tc>
      </w:tr>
      <w:tr w:rsidR="003406F3" w:rsidRPr="003406F3" w14:paraId="11A12D7E" w14:textId="77777777" w:rsidTr="00DB09DC">
        <w:trPr>
          <w:trHeight w:val="530"/>
        </w:trPr>
        <w:tc>
          <w:tcPr>
            <w:tcW w:w="1615" w:type="dxa"/>
            <w:vAlign w:val="center"/>
          </w:tcPr>
          <w:p w14:paraId="5A89CF27" w14:textId="2FC41B30" w:rsidR="00D82C18" w:rsidRPr="003406F3" w:rsidRDefault="003630ED" w:rsidP="00DB09DC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 a 3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281A5A31" w:rsidR="003630ED" w:rsidRPr="003406F3" w:rsidRDefault="00DB09DC" w:rsidP="00AF62E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las primeras diapositivas se exponen la estructura y los objetivos de esta sesión.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Los delegados tendrán la oportunidad de formular las preguntas preliminares que tengan sobre la estructura y los objetivos de la sesión.</w:t>
            </w:r>
          </w:p>
        </w:tc>
      </w:tr>
      <w:tr w:rsidR="003406F3" w:rsidRPr="003406F3" w14:paraId="65F07CB5" w14:textId="77777777" w:rsidTr="00C9640B">
        <w:trPr>
          <w:trHeight w:val="1876"/>
        </w:trPr>
        <w:tc>
          <w:tcPr>
            <w:tcW w:w="1615" w:type="dxa"/>
            <w:vAlign w:val="center"/>
          </w:tcPr>
          <w:p w14:paraId="6F5AEB2D" w14:textId="46D61EAC" w:rsidR="00D82C18" w:rsidRPr="003406F3" w:rsidRDefault="00DB09DC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4 a 16</w:t>
            </w:r>
          </w:p>
        </w:tc>
        <w:tc>
          <w:tcPr>
            <w:tcW w:w="7395" w:type="dxa"/>
            <w:gridSpan w:val="2"/>
            <w:vAlign w:val="center"/>
          </w:tcPr>
          <w:p w14:paraId="51EA1F44" w14:textId="77777777" w:rsidR="00357C78" w:rsidRDefault="00CF0C7C" w:rsidP="00357C78">
            <w:pPr>
              <w:pStyle w:val="Subtitle"/>
              <w:spacing w:beforeLines="20" w:before="48" w:afterLines="20" w:after="48" w:line="280" w:lineRule="exact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Con estas diapositivas se pretende que los delegados comprendan la dimensión mundial de Internet y la necesidad de una cooperación internacional eficaz en materia de ciberdelincuencia y pruebas electrónicas.</w:t>
            </w:r>
            <w:r>
              <w:rPr>
                <w:szCs w:val="18"/>
                <w:rFonts w:ascii="Verdana" w:hAnsi="Verdana"/>
              </w:rPr>
              <w:t xml:space="preserve"> </w:t>
            </w:r>
            <w:r>
              <w:rPr>
                <w:szCs w:val="18"/>
                <w:rFonts w:ascii="Verdana" w:hAnsi="Verdana"/>
              </w:rPr>
              <w:t xml:space="preserve">El formador debe hacer hincapié en las cuestiones difíciles relativas a los aspectos internacionales de los ciberdelitos como consideraciones clave para las secciones posteriores de este módulo.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  <w:p w14:paraId="26F13358" w14:textId="77777777" w:rsidR="00357C78" w:rsidRDefault="00357C78" w:rsidP="00357C78">
            <w:pPr>
              <w:pStyle w:val="Subtitle"/>
              <w:spacing w:beforeLines="20" w:before="48" w:afterLines="20" w:after="48" w:line="280" w:lineRule="exact"/>
              <w:rPr>
                <w:rFonts w:ascii="Verdana" w:hAnsi="Verdana"/>
                <w:szCs w:val="18"/>
              </w:rPr>
            </w:pPr>
          </w:p>
          <w:p w14:paraId="649FEA68" w14:textId="69BEB01E" w:rsidR="00357C78" w:rsidRPr="00357C78" w:rsidRDefault="00357C78" w:rsidP="00357C78">
            <w:pPr>
              <w:pStyle w:val="Subtitle"/>
              <w:spacing w:beforeLines="20" w:before="48" w:afterLines="20" w:after="48" w:line="280" w:lineRule="exact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Asimismo, se presentan y explican las cuestiones clave en forma de desafíos de la asistencia jurídica internacional.</w:t>
            </w:r>
            <w:r>
              <w:rPr>
                <w:szCs w:val="18"/>
                <w:rFonts w:ascii="Verdana" w:hAnsi="Verdana"/>
              </w:rPr>
              <w:t xml:space="preserve"> </w:t>
            </w:r>
            <w:r>
              <w:rPr>
                <w:szCs w:val="18"/>
                <w:rFonts w:ascii="Verdana" w:hAnsi="Verdana"/>
              </w:rPr>
              <w:t xml:space="preserve">Se ha prestado más atención a la introducción y explicación de los conceptos y desafíos de la asistencia jurídica mutua clásica y de la asistencia administrativa, o más rápida, que puede proporcionar a veces mejores resultados.</w:t>
            </w:r>
          </w:p>
        </w:tc>
      </w:tr>
      <w:tr w:rsidR="003406F3" w:rsidRPr="003406F3" w14:paraId="3236CF7B" w14:textId="77777777" w:rsidTr="001B428D">
        <w:trPr>
          <w:trHeight w:val="2015"/>
        </w:trPr>
        <w:tc>
          <w:tcPr>
            <w:tcW w:w="1615" w:type="dxa"/>
            <w:vAlign w:val="center"/>
          </w:tcPr>
          <w:p w14:paraId="63F93ACC" w14:textId="2DF29071" w:rsidR="00A00A58" w:rsidRPr="003406F3" w:rsidRDefault="00357C78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17 a 23</w:t>
            </w:r>
          </w:p>
        </w:tc>
        <w:tc>
          <w:tcPr>
            <w:tcW w:w="7395" w:type="dxa"/>
            <w:gridSpan w:val="2"/>
            <w:vAlign w:val="center"/>
          </w:tcPr>
          <w:p w14:paraId="1E90C6D7" w14:textId="77777777" w:rsidR="00175ADE" w:rsidRDefault="00357C78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Estas diapositivas presentan el Capítulo III del Convenio, que contiene las disposiciones relativas a la asistencia mutua en materia de delincuencia tradicional e informática, así como las referentes a la extradición.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Da cuenta de la asistencia mutua tradicional en dos situaciones: cuando entre las partes no existen fundamentos jurídicos (tratados, leyes de reciprocidad, etc.) -- en cuyo caso corresponde aplicar sus disposiciones -- y cuando existe dicha base -- en cuyo caso los acuerdos existentes también se aplican a la asistencia que se concede en virtud del presente Convenio.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</w:p>
          <w:p w14:paraId="6B518A62" w14:textId="5AEA99B0" w:rsidR="009A46F5" w:rsidRPr="00357C78" w:rsidRDefault="009A46F5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Asimismo, las diapositivas abarcarán los principios básicos de los tratados internacionales y las leyes que rigen la asistencia jurídica mutua en materia penal.</w:t>
            </w:r>
          </w:p>
        </w:tc>
      </w:tr>
      <w:tr w:rsidR="003406F3" w:rsidRPr="003406F3" w14:paraId="5AA3C4AD" w14:textId="77777777" w:rsidTr="00CB3026">
        <w:trPr>
          <w:trHeight w:val="3158"/>
        </w:trPr>
        <w:tc>
          <w:tcPr>
            <w:tcW w:w="1615" w:type="dxa"/>
            <w:vAlign w:val="center"/>
          </w:tcPr>
          <w:p w14:paraId="07F9F799" w14:textId="7AB57110" w:rsidR="00A00A58" w:rsidRPr="003406F3" w:rsidRDefault="00DB09DC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24 a 37</w:t>
            </w:r>
          </w:p>
        </w:tc>
        <w:tc>
          <w:tcPr>
            <w:tcW w:w="7395" w:type="dxa"/>
            <w:gridSpan w:val="2"/>
            <w:vAlign w:val="center"/>
          </w:tcPr>
          <w:p w14:paraId="6AEC905E" w14:textId="77777777" w:rsidR="009A46F5" w:rsidRDefault="00DB09DC" w:rsidP="009A46F5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color w:val="auto"/>
                <w:szCs w:val="18"/>
                <w:rFonts w:ascii="Verdana" w:hAnsi="Verdana"/>
              </w:rPr>
              <w:t xml:space="preserve">Estas diapositivas abarcan las disposiciones de cooperación internacional del capítulo III del Convenio de Budapest relativas a los principios generales de la asistencia jurídica mutua.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  <w:r>
              <w:rPr>
                <w:color w:val="auto"/>
                <w:szCs w:val="18"/>
                <w:rFonts w:ascii="Verdana" w:hAnsi="Verdana"/>
              </w:rPr>
              <w:t xml:space="preserve">Más concretamente, los artículos 25, 26 y 27.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  <w:r>
              <w:rPr>
                <w:color w:val="auto"/>
                <w:szCs w:val="18"/>
                <w:rFonts w:ascii="Verdana" w:hAnsi="Verdana"/>
              </w:rPr>
              <w:t xml:space="preserve">El formador debe ocuparse del texto y de las explicaciones detalladas.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</w:p>
          <w:p w14:paraId="3A537EFC" w14:textId="77777777" w:rsidR="00F4792B" w:rsidRDefault="009A46F5" w:rsidP="00F4792B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hAnsi="Verdana" w:cs="Arial"/>
              </w:rPr>
            </w:pPr>
            <w:r>
              <w:rPr>
                <w:szCs w:val="18"/>
                <w:rFonts w:ascii="Verdana" w:hAnsi="Verdana"/>
              </w:rPr>
              <w:t xml:space="preserve">Las disposiciones de este capítulo aclaran que la obligación de prestar asistencia mutua debe llevarse a cabo, en general, de conformidad con los términos de los tratados, leyes y acuerdos de asistencia jurídica mutua aplicables.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  <w:p w14:paraId="233379EC" w14:textId="283DBC0A" w:rsidR="00F4792B" w:rsidRP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hAnsi="Verdana" w:cs="Arial"/>
              </w:rPr>
            </w:pPr>
            <w:r>
              <w:rPr>
                <w:szCs w:val="18"/>
                <w:rFonts w:ascii="Verdana" w:hAnsi="Verdana"/>
              </w:rPr>
              <w:t xml:space="preserve">En la parte de las notas de cada diapositiva se ofrece una orientación detallada de los expertos.</w:t>
            </w:r>
          </w:p>
          <w:p w14:paraId="1B9C6A39" w14:textId="00B0460E" w:rsidR="003406F3" w:rsidRPr="003406F3" w:rsidRDefault="00DB09DC" w:rsidP="00397FEA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Cada uno de los elementos importantes de cada artículo aparece marcado en rojo, y cada uno de los elementos resaltados va seguido de diapositivas con explicaciones sobre el elemento anterior.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</w:p>
        </w:tc>
      </w:tr>
      <w:tr w:rsidR="00DB09DC" w:rsidRPr="003406F3" w14:paraId="29253992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7CB27A05" w14:textId="38D8C2BD" w:rsidR="00DB09DC" w:rsidRDefault="00F4792B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38 a 58</w:t>
            </w:r>
          </w:p>
        </w:tc>
        <w:tc>
          <w:tcPr>
            <w:tcW w:w="7395" w:type="dxa"/>
            <w:gridSpan w:val="2"/>
            <w:vAlign w:val="center"/>
          </w:tcPr>
          <w:p w14:paraId="0FE47FC1" w14:textId="77777777" w:rsid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color w:val="auto"/>
                <w:szCs w:val="18"/>
                <w:rFonts w:ascii="Verdana" w:hAnsi="Verdana"/>
              </w:rPr>
              <w:t xml:space="preserve">Estas diapositivas abarcan las disposiciones de cooperación internacional del capítulo III del Convenio de Budapest relativas a los principios específicos de la asistencia jurídica mutua.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  <w:r>
              <w:rPr>
                <w:color w:val="auto"/>
                <w:szCs w:val="18"/>
                <w:rFonts w:ascii="Verdana" w:hAnsi="Verdana"/>
              </w:rPr>
              <w:t xml:space="preserve">Más concretamente, los artículos 29, 30, 31, 32, 33, 34 y 35.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  <w:r>
              <w:rPr>
                <w:color w:val="auto"/>
                <w:szCs w:val="18"/>
                <w:rFonts w:ascii="Verdana" w:hAnsi="Verdana"/>
              </w:rPr>
              <w:t xml:space="preserve">El formador debe ocuparse del texto y de las explicaciones detalladas.</w:t>
            </w:r>
            <w:r>
              <w:rPr>
                <w:color w:val="auto"/>
                <w:szCs w:val="18"/>
                <w:rFonts w:ascii="Verdana" w:hAnsi="Verdana"/>
              </w:rPr>
              <w:t xml:space="preserve"> </w:t>
            </w:r>
          </w:p>
          <w:p w14:paraId="752D7BD5" w14:textId="57DB3747" w:rsidR="00F4792B" w:rsidRP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szCs w:val="18"/>
                <w:rFonts w:ascii="Verdana" w:hAnsi="Verdana"/>
              </w:rPr>
              <w:t xml:space="preserve">En la parte de las notas de cada diapositiva se ofrece una orientación detallada de los expertos.</w:t>
            </w:r>
          </w:p>
          <w:p w14:paraId="660000A2" w14:textId="6CF4A2D2" w:rsidR="00DB09DC" w:rsidRDefault="00F4792B" w:rsidP="00F4792B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Cada uno de los elementos importantes de cada artículo aparece marcado en rojo, y cada uno de los elementos resaltados va seguido de diapositivas con explicaciones sobre el elemento anterior.</w:t>
            </w:r>
          </w:p>
        </w:tc>
      </w:tr>
      <w:tr w:rsidR="003406F3" w:rsidRPr="003406F3" w14:paraId="07D9F9A7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0F0112E8" w14:textId="1FC9E5D5" w:rsidR="00A00A58" w:rsidRPr="003406F3" w:rsidRDefault="00AC475F" w:rsidP="00BB0093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59 a 61</w:t>
            </w:r>
          </w:p>
        </w:tc>
        <w:tc>
          <w:tcPr>
            <w:tcW w:w="7395" w:type="dxa"/>
            <w:gridSpan w:val="2"/>
            <w:vAlign w:val="center"/>
          </w:tcPr>
          <w:p w14:paraId="373F061B" w14:textId="67C52077" w:rsidR="00A00A58" w:rsidRPr="003406F3" w:rsidRDefault="00FC677E" w:rsidP="00B468A3">
            <w:pPr>
              <w:spacing w:before="120" w:after="120" w:line="280" w:lineRule="exact"/>
              <w:jc w:val="both"/>
              <w:rPr>
                <w:i/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formador deberá volver a recordar los objetivos de la sesión con los delegados y darles la oportunidad de formular cualquier pregunta relacionada con los materiales tratados en este módulo.</w:t>
            </w:r>
          </w:p>
        </w:tc>
      </w:tr>
      <w:tr w:rsidR="003406F3" w:rsidRPr="003406F3" w14:paraId="2ECF09B7" w14:textId="77777777" w:rsidTr="00CB3026">
        <w:trPr>
          <w:trHeight w:val="1412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Ejercicios prácticos</w:t>
            </w:r>
          </w:p>
          <w:p w14:paraId="04D65D89" w14:textId="6D5C4DD0" w:rsidR="00CB3026" w:rsidRPr="003406F3" w:rsidRDefault="00CB3026" w:rsidP="004639E3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esta lección no se contempla la realización de ejercicios prácticos.</w:t>
            </w:r>
          </w:p>
        </w:tc>
      </w:tr>
      <w:tr w:rsidR="003406F3" w:rsidRPr="003406F3" w14:paraId="603967A2" w14:textId="77777777" w:rsidTr="00801300">
        <w:tc>
          <w:tcPr>
            <w:tcW w:w="9010" w:type="dxa"/>
            <w:gridSpan w:val="3"/>
            <w:vAlign w:val="center"/>
          </w:tcPr>
          <w:p w14:paraId="57B48D1E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Evaluación/comprobación de conocimientos</w:t>
            </w:r>
          </w:p>
          <w:p w14:paraId="4496975B" w14:textId="71EF14F8" w:rsidR="00CB3026" w:rsidRPr="003406F3" w:rsidRDefault="00B468A3" w:rsidP="00B468A3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No se ha preparado ninguna evaluación formal para esta sesión.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Se anima al formador a que compruebe los conocimientos y la comprensión de los delegados formulando las preguntas pertinentes a lo largo de la sesión.</w:t>
            </w:r>
          </w:p>
        </w:tc>
      </w:tr>
    </w:tbl>
    <w:p w14:paraId="15498912" w14:textId="77777777" w:rsidR="00D82C18" w:rsidRPr="003406F3" w:rsidRDefault="00D82C18">
      <w:pPr>
        <w:rPr>
          <w:rFonts w:ascii="Verdana" w:hAnsi="Verdana"/>
        </w:rPr>
      </w:pPr>
    </w:p>
    <w:sectPr w:rsidR="00D82C18" w:rsidRPr="003406F3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imes New Roman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105DD4"/>
    <w:rsid w:val="00151ADF"/>
    <w:rsid w:val="00175ADE"/>
    <w:rsid w:val="00185B76"/>
    <w:rsid w:val="001B428D"/>
    <w:rsid w:val="001B5DAD"/>
    <w:rsid w:val="00271010"/>
    <w:rsid w:val="0027512B"/>
    <w:rsid w:val="002F375E"/>
    <w:rsid w:val="003406F3"/>
    <w:rsid w:val="00357C78"/>
    <w:rsid w:val="003630ED"/>
    <w:rsid w:val="00397FEA"/>
    <w:rsid w:val="003E0EDB"/>
    <w:rsid w:val="004639E3"/>
    <w:rsid w:val="0051122C"/>
    <w:rsid w:val="00534FB7"/>
    <w:rsid w:val="005703B7"/>
    <w:rsid w:val="00594B3F"/>
    <w:rsid w:val="005951B6"/>
    <w:rsid w:val="005A4E47"/>
    <w:rsid w:val="006B6864"/>
    <w:rsid w:val="006F4B1A"/>
    <w:rsid w:val="007169BB"/>
    <w:rsid w:val="00761BA4"/>
    <w:rsid w:val="007B75A9"/>
    <w:rsid w:val="00823B30"/>
    <w:rsid w:val="008E3FE7"/>
    <w:rsid w:val="009277BD"/>
    <w:rsid w:val="0094072C"/>
    <w:rsid w:val="009A46F5"/>
    <w:rsid w:val="00A00A58"/>
    <w:rsid w:val="00A03CF0"/>
    <w:rsid w:val="00A4110D"/>
    <w:rsid w:val="00A45C00"/>
    <w:rsid w:val="00A734A5"/>
    <w:rsid w:val="00AC475F"/>
    <w:rsid w:val="00AD2B58"/>
    <w:rsid w:val="00AF62EC"/>
    <w:rsid w:val="00B03741"/>
    <w:rsid w:val="00B468A3"/>
    <w:rsid w:val="00B569A5"/>
    <w:rsid w:val="00B71D66"/>
    <w:rsid w:val="00BB0093"/>
    <w:rsid w:val="00C541A2"/>
    <w:rsid w:val="00C9640B"/>
    <w:rsid w:val="00CB02C4"/>
    <w:rsid w:val="00CB3026"/>
    <w:rsid w:val="00CF0C7C"/>
    <w:rsid w:val="00D82C18"/>
    <w:rsid w:val="00D944B5"/>
    <w:rsid w:val="00DB09DC"/>
    <w:rsid w:val="00E13BE7"/>
    <w:rsid w:val="00E17E67"/>
    <w:rsid w:val="00E55549"/>
    <w:rsid w:val="00E7344B"/>
    <w:rsid w:val="00E95703"/>
    <w:rsid w:val="00EB11FC"/>
    <w:rsid w:val="00F35B67"/>
    <w:rsid w:val="00F4792B"/>
    <w:rsid w:val="00F62A15"/>
    <w:rsid w:val="00FC677E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D902590-5B3F-DC4A-B1B9-EFF6D9B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es-ES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es-ES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151A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B. Stam</cp:lastModifiedBy>
  <cp:revision>3</cp:revision>
  <dcterms:created xsi:type="dcterms:W3CDTF">2020-09-20T20:19:00Z</dcterms:created>
  <dcterms:modified xsi:type="dcterms:W3CDTF">2020-10-08T16:17:00Z</dcterms:modified>
</cp:coreProperties>
</file>