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E6F1" w14:textId="119961CB" w:rsidR="00151ADF" w:rsidRPr="00151ADF" w:rsidRDefault="00B71D66" w:rsidP="00151ADF">
      <w:pPr>
        <w:pStyle w:val="ListParagraph"/>
        <w:ind w:left="0"/>
        <w:rPr>
          <w:b/>
          <w:sz w:val="32"/>
          <w:szCs w:val="32"/>
          <w:rFonts w:ascii="Verdana" w:hAnsi="Verdana"/>
        </w:rPr>
      </w:pPr>
      <w:r>
        <w:rPr>
          <w:b/>
          <w:sz w:val="32"/>
          <w:szCs w:val="32"/>
          <w:rFonts w:ascii="Verdana" w:hAnsi="Verdana"/>
        </w:rPr>
        <w:t xml:space="preserve">Plan de la lección</w:t>
      </w:r>
      <w:r>
        <w:rPr>
          <w:b/>
          <w:sz w:val="32"/>
          <w:szCs w:val="32"/>
          <w:rFonts w:ascii="Verdana" w:hAnsi="Verdana"/>
        </w:rPr>
        <w:t xml:space="preserve"> </w:t>
      </w:r>
    </w:p>
    <w:p w14:paraId="297047B4" w14:textId="77777777" w:rsidR="00B71D66" w:rsidRPr="003406F3" w:rsidRDefault="00B71D66" w:rsidP="00B71D66">
      <w:pPr>
        <w:pStyle w:val="ListParagraph"/>
        <w:ind w:left="360"/>
        <w:rPr>
          <w:rFonts w:ascii="Verdana" w:hAnsi="Verdana"/>
        </w:rPr>
      </w:pPr>
    </w:p>
    <w:p w14:paraId="6857C56D" w14:textId="3A26C474" w:rsidR="00D82C18" w:rsidRPr="00151ADF" w:rsidRDefault="00D82C18" w:rsidP="00151ADF">
      <w:pPr>
        <w:pStyle w:val="ListParagraph"/>
        <w:ind w:left="0"/>
        <w:rPr>
          <w:b/>
          <w:sz w:val="32"/>
          <w:szCs w:val="32"/>
          <w:rFonts w:ascii="Verdana" w:hAnsi="Verdana"/>
        </w:rPr>
      </w:pPr>
      <w:r>
        <w:rPr>
          <w:sz w:val="28"/>
          <w:szCs w:val="28"/>
          <w:rFonts w:ascii="Verdana" w:hAnsi="Verdana"/>
        </w:rPr>
        <w:t xml:space="preserve">Lección 3.x (Visión general de la investigación de la ciberdelincuencia:</w:t>
      </w:r>
      <w:r>
        <w:rPr>
          <w:sz w:val="28"/>
          <w:szCs w:val="28"/>
          <w:rFonts w:ascii="Verdana" w:hAnsi="Verdana"/>
        </w:rPr>
        <w:t xml:space="preserve"> </w:t>
      </w:r>
      <w:r>
        <w:rPr>
          <w:sz w:val="28"/>
          <w:szCs w:val="28"/>
          <w:rFonts w:ascii="Verdana" w:hAnsi="Verdana"/>
        </w:rPr>
        <w:t xml:space="preserve">Experiencia nacional e internacional)</w:t>
      </w:r>
    </w:p>
    <w:p w14:paraId="0A3DD02D" w14:textId="77777777" w:rsidR="00D82C18" w:rsidRPr="003406F3" w:rsidRDefault="00D82C18" w:rsidP="00B71D66">
      <w:pPr>
        <w:ind w:left="72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711"/>
        <w:gridCol w:w="2684"/>
      </w:tblGrid>
      <w:tr w:rsidR="003406F3" w:rsidRPr="003406F3" w14:paraId="58A3485E" w14:textId="77777777" w:rsidTr="00CB3026">
        <w:trPr>
          <w:trHeight w:val="872"/>
        </w:trPr>
        <w:tc>
          <w:tcPr>
            <w:tcW w:w="6326" w:type="dxa"/>
            <w:gridSpan w:val="2"/>
            <w:shd w:val="clear" w:color="auto" w:fill="DEEAF6" w:themeFill="accent5" w:themeFillTint="33"/>
            <w:vAlign w:val="center"/>
          </w:tcPr>
          <w:p w14:paraId="0067FF35" w14:textId="71F23E76" w:rsidR="00D82C18" w:rsidRPr="003406F3" w:rsidRDefault="00D82C18" w:rsidP="00397FEA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szCs w:val="22"/>
                <w:rFonts w:ascii="Verdana" w:hAnsi="Verdana"/>
              </w:rPr>
              <w:t xml:space="preserve">Lección 3.x (Conceptos básicos sobre la cooperación internacional)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30B631DA" w14:textId="5B39022F" w:rsidR="00D82C18" w:rsidRPr="003406F3" w:rsidRDefault="00D82C18" w:rsidP="006B6864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szCs w:val="22"/>
                <w:rFonts w:ascii="Verdana" w:hAnsi="Verdana"/>
              </w:rPr>
              <w:t xml:space="preserve">Duración:</w:t>
            </w:r>
            <w:r>
              <w:rPr>
                <w:sz w:val="22"/>
                <w:szCs w:val="22"/>
                <w:rFonts w:ascii="Verdana" w:hAnsi="Verdana"/>
              </w:rPr>
              <w:t xml:space="preserve"> </w:t>
            </w:r>
            <w:r>
              <w:rPr>
                <w:sz w:val="22"/>
                <w:szCs w:val="22"/>
                <w:rFonts w:ascii="Verdana" w:hAnsi="Verdana"/>
              </w:rPr>
              <w:t xml:space="preserve">90 minutos</w:t>
            </w:r>
          </w:p>
        </w:tc>
      </w:tr>
      <w:tr w:rsidR="003406F3" w:rsidRPr="003406F3" w14:paraId="7C1107AB" w14:textId="77777777" w:rsidTr="00B569A5">
        <w:trPr>
          <w:trHeight w:val="1025"/>
        </w:trPr>
        <w:tc>
          <w:tcPr>
            <w:tcW w:w="9010" w:type="dxa"/>
            <w:gridSpan w:val="3"/>
            <w:vAlign w:val="center"/>
          </w:tcPr>
          <w:p w14:paraId="54042637" w14:textId="5D5B0179" w:rsidR="00E7344B" w:rsidRPr="003406F3" w:rsidRDefault="00E7344B" w:rsidP="005951B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Recursos necesarios:</w:t>
            </w:r>
          </w:p>
          <w:p w14:paraId="3E3ADEA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PC/portátil cargado con versiones de software compatibles con los materiales preparados</w:t>
            </w:r>
          </w:p>
          <w:p w14:paraId="737B876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Proyector y pantalla.</w:t>
            </w:r>
          </w:p>
          <w:p w14:paraId="6505534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Acceso a Internet (si está disponible).</w:t>
            </w:r>
            <w:r>
              <w:t xml:space="preserve"> </w:t>
            </w:r>
          </w:p>
          <w:p w14:paraId="14CF9EF0" w14:textId="73EC6711" w:rsidR="00E7344B" w:rsidRPr="003406F3" w:rsidRDefault="00E7344B" w:rsidP="00B569A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i/>
                <w:szCs w:val="18"/>
              </w:rPr>
            </w:pPr>
            <w:r>
              <w:t xml:space="preserve">Papel y bolígrafos para estudiantes.</w:t>
            </w:r>
          </w:p>
        </w:tc>
      </w:tr>
      <w:tr w:rsidR="003406F3" w:rsidRPr="003406F3" w14:paraId="635F2EFD" w14:textId="77777777" w:rsidTr="00B569A5">
        <w:trPr>
          <w:trHeight w:val="1241"/>
        </w:trPr>
        <w:tc>
          <w:tcPr>
            <w:tcW w:w="9010" w:type="dxa"/>
            <w:gridSpan w:val="3"/>
            <w:vAlign w:val="center"/>
          </w:tcPr>
          <w:p w14:paraId="34602AF3" w14:textId="1EB448F3" w:rsidR="00A03CF0" w:rsidRPr="003406F3" w:rsidRDefault="00A03CF0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Propósito de la sesión:</w:t>
            </w:r>
            <w:r>
              <w:rPr>
                <w:b/>
                <w:sz w:val="22"/>
                <w:szCs w:val="22"/>
                <w:rFonts w:ascii="Verdana" w:hAnsi="Verdana"/>
              </w:rPr>
              <w:t xml:space="preserve">  </w:t>
            </w:r>
          </w:p>
          <w:p w14:paraId="3FE58655" w14:textId="75355C62" w:rsidR="00A03CF0" w:rsidRPr="003406F3" w:rsidRDefault="007B75A9" w:rsidP="0051122C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propósito general de esta sesión es presentar a los delegados una visión general de la investigación de la ciberdelincuencia en comparación con las experiencias internacionales y locales.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Se presentará a los delegados una descripción de las autoridades encargadas de los ciberdelitos, su configuración, los aspectos sustantivos y procesales de la investigación, los fundamentos de la investigación en sí misma en las diferentes configuraciones jurídicas y algunas experiencias concretas de ámbito internacional y local.</w:t>
            </w:r>
          </w:p>
        </w:tc>
      </w:tr>
      <w:tr w:rsidR="003406F3" w:rsidRPr="003406F3" w14:paraId="1B5A80A7" w14:textId="77777777" w:rsidTr="00B569A5">
        <w:trPr>
          <w:trHeight w:val="2240"/>
        </w:trPr>
        <w:tc>
          <w:tcPr>
            <w:tcW w:w="9010" w:type="dxa"/>
            <w:gridSpan w:val="3"/>
            <w:vAlign w:val="center"/>
          </w:tcPr>
          <w:p w14:paraId="559A7E05" w14:textId="77777777" w:rsidR="00A03CF0" w:rsidRPr="003406F3" w:rsidRDefault="00271010" w:rsidP="00F62A15">
            <w:pPr>
              <w:spacing w:before="120" w:after="120" w:line="280" w:lineRule="exact"/>
              <w:contextualSpacing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Objetivos:</w:t>
            </w:r>
          </w:p>
          <w:p w14:paraId="3BEE7864" w14:textId="77777777" w:rsidR="005703B7" w:rsidRPr="003406F3" w:rsidRDefault="005703B7" w:rsidP="00CB3026">
            <w:pPr>
              <w:tabs>
                <w:tab w:val="left" w:pos="426"/>
                <w:tab w:val="left" w:pos="851"/>
              </w:tabs>
              <w:spacing w:before="120" w:after="120" w:line="280" w:lineRule="exact"/>
              <w:contextualSpacing/>
              <w:jc w:val="both"/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Al final de la lección los alumnos podrán:</w:t>
            </w:r>
          </w:p>
          <w:p w14:paraId="5836D1DE" w14:textId="77777777" w:rsidR="00C03A1E" w:rsidRPr="00C03A1E" w:rsidRDefault="00C03A1E" w:rsidP="00C03A1E">
            <w:pPr>
              <w:pStyle w:val="bul1"/>
              <w:spacing w:before="120" w:after="120" w:line="280" w:lineRule="exact"/>
              <w:ind w:left="697" w:hanging="360"/>
              <w:rPr>
                <w:szCs w:val="18"/>
              </w:rPr>
            </w:pPr>
            <w:r>
              <w:t xml:space="preserve">Comprender el marco jurídico y la organización práctica de las autoridades competentes en materia de represión de la ciberdelincuencia y adjudicatarias</w:t>
            </w:r>
            <w:r>
              <w:t xml:space="preserve"> </w:t>
            </w:r>
          </w:p>
          <w:p w14:paraId="4A1E05DE" w14:textId="77777777" w:rsidR="00C03A1E" w:rsidRPr="00C03A1E" w:rsidRDefault="00C03A1E" w:rsidP="00C03A1E">
            <w:pPr>
              <w:pStyle w:val="bul1"/>
              <w:spacing w:before="120" w:after="120" w:line="280" w:lineRule="exact"/>
              <w:ind w:left="697" w:hanging="360"/>
              <w:rPr>
                <w:szCs w:val="18"/>
              </w:rPr>
            </w:pPr>
            <w:r>
              <w:t xml:space="preserve">Revisar y comprender los conceptos básicos de la investigación de la ciberdelincuencia y las funciones de las autoridades implicadas</w:t>
            </w:r>
          </w:p>
          <w:p w14:paraId="7CD3F5C7" w14:textId="5AB40F70" w:rsidR="00C03A1E" w:rsidRPr="00C03A1E" w:rsidRDefault="00C03A1E" w:rsidP="00C03A1E">
            <w:pPr>
              <w:pStyle w:val="bul1"/>
              <w:spacing w:before="120" w:after="120" w:line="280" w:lineRule="exact"/>
              <w:ind w:left="697" w:hanging="360"/>
              <w:rPr>
                <w:szCs w:val="18"/>
              </w:rPr>
            </w:pPr>
            <w:r>
              <w:t xml:space="preserve">Conocer algunas experiencias internacionales sobre la organización de las autoridades especializadas y la investigación de la ciberdelincuencia</w:t>
            </w:r>
          </w:p>
          <w:p w14:paraId="61ABEAC5" w14:textId="02592FDC" w:rsidR="0051122C" w:rsidRPr="00C03A1E" w:rsidRDefault="00C03A1E" w:rsidP="00C03A1E">
            <w:pPr>
              <w:pStyle w:val="bul1"/>
              <w:spacing w:before="120" w:after="120" w:line="280" w:lineRule="exact"/>
              <w:ind w:left="697" w:hanging="360"/>
              <w:rPr>
                <w:szCs w:val="18"/>
              </w:rPr>
            </w:pPr>
            <w:r>
              <w:t xml:space="preserve">Conocer experiencias nacionales al respecto</w:t>
            </w:r>
          </w:p>
        </w:tc>
      </w:tr>
      <w:tr w:rsidR="003406F3" w:rsidRPr="003406F3" w14:paraId="03110757" w14:textId="77777777" w:rsidTr="00B569A5">
        <w:trPr>
          <w:trHeight w:val="1475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3F0CE4F6" w:rsidR="005703B7" w:rsidRPr="003406F3" w:rsidRDefault="00E95703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Pautas para los formadores</w:t>
            </w:r>
          </w:p>
          <w:p w14:paraId="5EFF4BEF" w14:textId="235E28A6" w:rsidR="007B75A9" w:rsidRPr="003406F3" w:rsidRDefault="00B569A5" w:rsidP="0094072C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Esta sesión se ha preparado para que los delegados conozcan a fondo los mecanismos de investigación de la ciberdelincuencia.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Esta sesión se ha dividido en cuatro partes, además de incluir una introducción y una conclusión.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primera parte se refiere a las autoridades competentes en materia de ciberdelincuencia.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segunda parte abarca los conceptos básicos de la investigación de la ciberdelincuencia.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En la tercera parte se ofrece información sobre algunas experiencias internacionales al respecto.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cuarta parte aporta información sobre la organización y la experiencia en el ámbito nacional.</w:t>
            </w:r>
          </w:p>
        </w:tc>
      </w:tr>
      <w:tr w:rsidR="003406F3" w:rsidRPr="003406F3" w14:paraId="7760520D" w14:textId="77777777" w:rsidTr="00E13BE7">
        <w:trPr>
          <w:trHeight w:val="701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3406F3" w:rsidRDefault="005A4E47" w:rsidP="00CB3026">
            <w:pPr>
              <w:rPr>
                <w:b/>
                <w:sz w:val="28"/>
                <w:szCs w:val="28"/>
                <w:rFonts w:ascii="Verdana" w:hAnsi="Verdana"/>
              </w:rPr>
            </w:pPr>
            <w:r>
              <w:rPr>
                <w:b/>
                <w:sz w:val="28"/>
                <w:szCs w:val="28"/>
                <w:rFonts w:ascii="Verdana" w:hAnsi="Verdana"/>
              </w:rPr>
              <w:t xml:space="preserve">Contenido de la lección</w:t>
            </w:r>
          </w:p>
        </w:tc>
      </w:tr>
      <w:tr w:rsidR="003406F3" w:rsidRPr="003406F3" w14:paraId="57CC7AA4" w14:textId="77777777" w:rsidTr="00CB3026">
        <w:trPr>
          <w:trHeight w:val="629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4538C338" w14:textId="77777777" w:rsidR="00D82C18" w:rsidRPr="003406F3" w:rsidRDefault="00E13BE7" w:rsidP="00CB3026">
            <w:pPr>
              <w:jc w:val="center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Números de las diapositivas</w:t>
            </w:r>
          </w:p>
        </w:tc>
        <w:tc>
          <w:tcPr>
            <w:tcW w:w="739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3406F3" w:rsidRDefault="00E13BE7">
            <w:pPr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Contenido</w:t>
            </w:r>
          </w:p>
        </w:tc>
      </w:tr>
      <w:tr w:rsidR="003406F3" w:rsidRPr="003406F3" w14:paraId="11A12D7E" w14:textId="77777777" w:rsidTr="00DB09DC">
        <w:trPr>
          <w:trHeight w:val="530"/>
        </w:trPr>
        <w:tc>
          <w:tcPr>
            <w:tcW w:w="1615" w:type="dxa"/>
            <w:vAlign w:val="center"/>
          </w:tcPr>
          <w:p w14:paraId="5A89CF27" w14:textId="2FC41B30" w:rsidR="00D82C18" w:rsidRPr="003406F3" w:rsidRDefault="003630ED" w:rsidP="00DB09DC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1 a 3</w:t>
            </w:r>
          </w:p>
        </w:tc>
        <w:tc>
          <w:tcPr>
            <w:tcW w:w="7395" w:type="dxa"/>
            <w:gridSpan w:val="2"/>
            <w:vAlign w:val="center"/>
          </w:tcPr>
          <w:p w14:paraId="36345B59" w14:textId="281A5A31" w:rsidR="003630ED" w:rsidRPr="003406F3" w:rsidRDefault="00DB09DC" w:rsidP="00AF62EC">
            <w:pPr>
              <w:tabs>
                <w:tab w:val="left" w:pos="426"/>
                <w:tab w:val="left" w:pos="851"/>
              </w:tabs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las primeras diapositivas se exponen la estructura y los objetivos de esta sesión.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Los delegados tendrán la oportunidad de formular las preguntas preliminares que tengan sobre la estructura y los objetivos de la sesión.</w:t>
            </w:r>
          </w:p>
        </w:tc>
      </w:tr>
      <w:tr w:rsidR="003406F3" w:rsidRPr="003406F3" w14:paraId="65F07CB5" w14:textId="77777777" w:rsidTr="00C9640B">
        <w:trPr>
          <w:trHeight w:val="1876"/>
        </w:trPr>
        <w:tc>
          <w:tcPr>
            <w:tcW w:w="1615" w:type="dxa"/>
            <w:vAlign w:val="center"/>
          </w:tcPr>
          <w:p w14:paraId="6F5AEB2D" w14:textId="2D3AEC45" w:rsidR="00D82C18" w:rsidRPr="003406F3" w:rsidRDefault="00DB09DC" w:rsidP="00A00A58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4 a 11</w:t>
            </w:r>
          </w:p>
        </w:tc>
        <w:tc>
          <w:tcPr>
            <w:tcW w:w="7395" w:type="dxa"/>
            <w:gridSpan w:val="2"/>
            <w:vAlign w:val="center"/>
          </w:tcPr>
          <w:p w14:paraId="0891A399" w14:textId="77777777" w:rsidR="00F53802" w:rsidRDefault="00CF0C7C" w:rsidP="00F53802">
            <w:pPr>
              <w:pStyle w:val="Subtitle"/>
              <w:spacing w:before="120" w:line="260" w:lineRule="exact"/>
              <w:rPr>
                <w:szCs w:val="18"/>
                <w:rFonts w:ascii="Verdana" w:hAnsi="Verdana"/>
              </w:rPr>
            </w:pPr>
            <w:r>
              <w:rPr>
                <w:szCs w:val="18"/>
                <w:rFonts w:ascii="Verdana" w:hAnsi="Verdana"/>
              </w:rPr>
              <w:t xml:space="preserve">Estas diapositivas pretenden proporcionar a los delegados información sobre la idea de las autoridades especializadas en ciberdelincuencia, sus competencias, configuración y forma en que deben trabajar.</w:t>
            </w:r>
            <w:r>
              <w:rPr>
                <w:szCs w:val="18"/>
                <w:rFonts w:ascii="Verdana" w:hAnsi="Verdana"/>
              </w:rPr>
              <w:t xml:space="preserve"> </w:t>
            </w:r>
          </w:p>
          <w:p w14:paraId="2E808FB2" w14:textId="15156474" w:rsidR="00F53802" w:rsidRPr="00F53802" w:rsidRDefault="00F53802" w:rsidP="00F53802">
            <w:pPr>
              <w:pStyle w:val="Subtitle"/>
              <w:spacing w:before="120" w:line="260" w:lineRule="exact"/>
              <w:rPr>
                <w:szCs w:val="18"/>
                <w:rFonts w:ascii="Verdana" w:hAnsi="Verdana"/>
              </w:rPr>
            </w:pPr>
            <w:r>
              <w:rPr>
                <w:szCs w:val="18"/>
                <w:rFonts w:ascii="Verdana" w:hAnsi="Verdana"/>
              </w:rPr>
              <w:t xml:space="preserve">En un número cada vez mayor de países se está organizando la creación de estas autoridades o se prevé su introducción en el sistema de represión de la delincuencia.</w:t>
            </w:r>
          </w:p>
          <w:p w14:paraId="649FEA68" w14:textId="166A55C1" w:rsidR="00F53802" w:rsidRPr="00F53802" w:rsidRDefault="00F53802" w:rsidP="00F53802">
            <w:pPr>
              <w:spacing w:before="120" w:after="120" w:line="26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Las diapositivas incluirán una lista de preguntas sobre las fuerzas del orden, la fiscalía, el tribunal y otras autoridades implicadas en los casos de ciberdelincuencia, y los expertos con los delegados deberán participar activamente en las respuestas.</w:t>
            </w:r>
          </w:p>
        </w:tc>
      </w:tr>
      <w:tr w:rsidR="003406F3" w:rsidRPr="003406F3" w14:paraId="3236CF7B" w14:textId="77777777" w:rsidTr="001B428D">
        <w:trPr>
          <w:trHeight w:val="2015"/>
        </w:trPr>
        <w:tc>
          <w:tcPr>
            <w:tcW w:w="1615" w:type="dxa"/>
            <w:vAlign w:val="center"/>
          </w:tcPr>
          <w:p w14:paraId="63F93ACC" w14:textId="73CCAA66" w:rsidR="00A00A58" w:rsidRPr="003406F3" w:rsidRDefault="00357C78" w:rsidP="00A00A58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12 a 20</w:t>
            </w:r>
          </w:p>
        </w:tc>
        <w:tc>
          <w:tcPr>
            <w:tcW w:w="7395" w:type="dxa"/>
            <w:gridSpan w:val="2"/>
            <w:vAlign w:val="center"/>
          </w:tcPr>
          <w:p w14:paraId="48C7FE95" w14:textId="380594A2" w:rsidR="00F53802" w:rsidRPr="00F53802" w:rsidRDefault="00357C78" w:rsidP="00F53802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estas diapositivas se presentarán las "normas" relativas a los conceptos de la investigación de la ciberdelincuencia.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Las normas no son formales, sino más bien el resultado de la experiencia de los profesionales en las investigaciones de ciberdelincuencia.</w:t>
            </w:r>
          </w:p>
          <w:p w14:paraId="3B7E84AD" w14:textId="152D8FDC" w:rsidR="00F53802" w:rsidRPr="00F53802" w:rsidRDefault="00F53802" w:rsidP="00F53802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Sin embargo, puede parecer que algunas de las "normas" son obvias y que describen el procedimiento ya vigente, pero no es tan sencillo.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En concreto, en varios países, aunque existe un marco jurídico a nivel general, no existen acuerdos de menor nivel que definan con mayor precisión los procedimientos de cooperación y la propia cooperación.</w:t>
            </w:r>
          </w:p>
          <w:p w14:paraId="47ECDBD0" w14:textId="77777777" w:rsidR="009A46F5" w:rsidRDefault="00F53802" w:rsidP="009A46F5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A menudo las autoridades se mantienen dentro de las líneas de su jurisdicción y no se comunican con otras de forma directa o rápida.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Este tipo de comportamiento conlleva una lentitud en la comunicación e intercambio de pruebas y hechos y la posible pérdida del material probatorio.</w:t>
            </w:r>
          </w:p>
          <w:p w14:paraId="6B518A62" w14:textId="5427ECD7" w:rsidR="00F53802" w:rsidRPr="00F53802" w:rsidRDefault="00F53802" w:rsidP="009A46F5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Además, las diapositivas incluirán una serie básica de las acciones que las fuerzas del orden deben llevar a cabo durante el curso de la investigación de la ciberdelincuencia, las que debe llevar a cabo la Fiscalía (independientemente del sistema, la Fiscalía representa una autoridad que está involucrada de una manera u otra con todos los participantes en los asuntos penales, desde las fuerzas del orden hasta los tribunales), el papel de los jueces y tribunales, las diferencias entre los sistemas de derecho consuetudinario y derecho civil, así como el papel de las otras autoridades en la investigación de la ciberdelincuencia.</w:t>
            </w:r>
          </w:p>
        </w:tc>
      </w:tr>
      <w:tr w:rsidR="003406F3" w:rsidRPr="003406F3" w14:paraId="5AA3C4AD" w14:textId="77777777" w:rsidTr="00CB3026">
        <w:trPr>
          <w:trHeight w:val="3158"/>
        </w:trPr>
        <w:tc>
          <w:tcPr>
            <w:tcW w:w="1615" w:type="dxa"/>
            <w:vAlign w:val="center"/>
          </w:tcPr>
          <w:p w14:paraId="07F9F799" w14:textId="42D6DE01" w:rsidR="00A00A58" w:rsidRPr="003406F3" w:rsidRDefault="00DB09DC" w:rsidP="00A45C00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21 a 28</w:t>
            </w:r>
          </w:p>
        </w:tc>
        <w:tc>
          <w:tcPr>
            <w:tcW w:w="7395" w:type="dxa"/>
            <w:gridSpan w:val="2"/>
            <w:vAlign w:val="center"/>
          </w:tcPr>
          <w:p w14:paraId="5BE7702D" w14:textId="77777777" w:rsidR="00F53802" w:rsidRPr="00F53802" w:rsidRDefault="00DB09DC" w:rsidP="00F53802">
            <w:pPr>
              <w:pStyle w:val="Subtitle"/>
              <w:spacing w:beforeLines="20" w:before="48" w:afterLines="120" w:after="288" w:line="280" w:lineRule="exact"/>
              <w:rPr>
                <w:szCs w:val="18"/>
                <w:rFonts w:ascii="Verdana" w:hAnsi="Verdana"/>
              </w:rPr>
            </w:pPr>
            <w:r>
              <w:rPr>
                <w:szCs w:val="18"/>
                <w:rFonts w:ascii="Verdana" w:hAnsi="Verdana"/>
              </w:rPr>
              <w:t xml:space="preserve">Estas diapositivas muestran una de las experiencias internacionales más exitosas en la represión de la ciberdelincuencia.</w:t>
            </w:r>
            <w:r>
              <w:rPr>
                <w:szCs w:val="18"/>
                <w:rFonts w:ascii="Verdana" w:hAnsi="Verdana"/>
              </w:rPr>
              <w:t xml:space="preserve"> </w:t>
            </w:r>
          </w:p>
          <w:p w14:paraId="58C764BC" w14:textId="77777777" w:rsidR="00F53802" w:rsidRPr="00F53802" w:rsidRDefault="00F53802" w:rsidP="00F53802">
            <w:pPr>
              <w:pStyle w:val="Subtitle"/>
              <w:spacing w:beforeLines="20" w:before="48" w:afterLines="120" w:after="288" w:line="280" w:lineRule="exact"/>
              <w:rPr>
                <w:szCs w:val="18"/>
                <w:rFonts w:ascii="Verdana" w:eastAsia="Times New Roman" w:hAnsi="Verdana"/>
              </w:rPr>
            </w:pPr>
            <w:r>
              <w:rPr>
                <w:szCs w:val="18"/>
                <w:rFonts w:ascii="Verdana" w:hAnsi="Verdana"/>
              </w:rPr>
              <w:t xml:space="preserve">La República de Serbia elaboró a partir de 2005 un marco jurídico para la lucha contra la ciberdelincuencia que incluía leyes sustantivas, procesales y organizativas.</w:t>
            </w:r>
            <w:r>
              <w:rPr>
                <w:szCs w:val="18"/>
                <w:rFonts w:ascii="Verdana" w:hAnsi="Verdana"/>
              </w:rPr>
              <w:t xml:space="preserve"> </w:t>
            </w:r>
            <w:r>
              <w:rPr>
                <w:szCs w:val="18"/>
                <w:rFonts w:ascii="Verdana" w:hAnsi="Verdana"/>
              </w:rPr>
              <w:t xml:space="preserve">Desde 2005, Serbia es uno de los pocos países que cuenta con autoridades altamente especializadas en ese ámbito, entre ellas la policía, la fiscalía y los tribunales.</w:t>
            </w:r>
          </w:p>
          <w:p w14:paraId="1B9C6A39" w14:textId="4F56F04B" w:rsidR="003406F3" w:rsidRPr="00F53802" w:rsidRDefault="00F53802" w:rsidP="00F53802">
            <w:pPr>
              <w:pStyle w:val="Subtitle"/>
              <w:spacing w:beforeLines="20" w:before="48" w:afterLines="120" w:after="288" w:line="280" w:lineRule="exact"/>
              <w:rPr>
                <w:szCs w:val="18"/>
                <w:rFonts w:ascii="Verdana" w:eastAsia="Times New Roman" w:hAnsi="Verdana"/>
              </w:rPr>
            </w:pPr>
            <w:r>
              <w:rPr>
                <w:szCs w:val="18"/>
                <w:rFonts w:ascii="Verdana" w:hAnsi="Verdana"/>
              </w:rPr>
              <w:t xml:space="preserve">No obstante, en función de las necesidades, los expertos pueden buscar y presentar ejemplos adicionales.</w:t>
            </w:r>
          </w:p>
        </w:tc>
      </w:tr>
      <w:tr w:rsidR="00DB09DC" w:rsidRPr="003406F3" w14:paraId="29253992" w14:textId="77777777" w:rsidTr="008D7196">
        <w:trPr>
          <w:trHeight w:val="476"/>
        </w:trPr>
        <w:tc>
          <w:tcPr>
            <w:tcW w:w="1615" w:type="dxa"/>
            <w:vAlign w:val="center"/>
          </w:tcPr>
          <w:p w14:paraId="7CB27A05" w14:textId="30123F6C" w:rsidR="00DB09DC" w:rsidRDefault="00F53802" w:rsidP="00A45C00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29 a 31</w:t>
            </w:r>
          </w:p>
        </w:tc>
        <w:tc>
          <w:tcPr>
            <w:tcW w:w="7395" w:type="dxa"/>
            <w:gridSpan w:val="2"/>
            <w:vAlign w:val="center"/>
          </w:tcPr>
          <w:p w14:paraId="660000A2" w14:textId="6A792431" w:rsidR="00DB09DC" w:rsidRPr="008D7196" w:rsidRDefault="00F53802" w:rsidP="008D7196">
            <w:pPr>
              <w:pStyle w:val="Subtitle"/>
              <w:spacing w:beforeLines="20" w:before="48" w:afterLines="120" w:after="288" w:line="280" w:lineRule="exact"/>
              <w:rPr>
                <w:color w:val="auto"/>
                <w:szCs w:val="18"/>
                <w:rFonts w:ascii="Verdana" w:eastAsia="Times New Roman" w:hAnsi="Verdana"/>
              </w:rPr>
            </w:pPr>
            <w:r>
              <w:rPr>
                <w:color w:val="auto"/>
                <w:szCs w:val="18"/>
                <w:rFonts w:ascii="Verdana" w:hAnsi="Verdana"/>
              </w:rPr>
              <w:t xml:space="preserve">Estas diapositivas deben presentar ejemplos de ámbito local</w:t>
            </w:r>
          </w:p>
        </w:tc>
      </w:tr>
      <w:tr w:rsidR="003406F3" w:rsidRPr="003406F3" w14:paraId="07D9F9A7" w14:textId="77777777" w:rsidTr="00FC677E">
        <w:trPr>
          <w:trHeight w:val="1340"/>
        </w:trPr>
        <w:tc>
          <w:tcPr>
            <w:tcW w:w="1615" w:type="dxa"/>
            <w:vAlign w:val="center"/>
          </w:tcPr>
          <w:p w14:paraId="0F0112E8" w14:textId="07B86B62" w:rsidR="00A00A58" w:rsidRPr="003406F3" w:rsidRDefault="008D7196" w:rsidP="00BB0093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31 a 34</w:t>
            </w:r>
          </w:p>
        </w:tc>
        <w:tc>
          <w:tcPr>
            <w:tcW w:w="7395" w:type="dxa"/>
            <w:gridSpan w:val="2"/>
            <w:vAlign w:val="center"/>
          </w:tcPr>
          <w:p w14:paraId="373F061B" w14:textId="67C52077" w:rsidR="00A00A58" w:rsidRPr="003406F3" w:rsidRDefault="00FC677E" w:rsidP="00B468A3">
            <w:pPr>
              <w:spacing w:before="120" w:after="120" w:line="280" w:lineRule="exact"/>
              <w:jc w:val="both"/>
              <w:rPr>
                <w:i/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formador deberá volver a recordar los objetivos de la sesión con los delegados y darles la oportunidad de formular cualquier pregunta relacionada con los materiales tratados en este módulo.</w:t>
            </w:r>
          </w:p>
        </w:tc>
      </w:tr>
      <w:tr w:rsidR="003406F3" w:rsidRPr="003406F3" w14:paraId="2ECF09B7" w14:textId="77777777" w:rsidTr="00CB3026">
        <w:trPr>
          <w:trHeight w:val="1412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Pr="003406F3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Ejercicios prácticos</w:t>
            </w:r>
          </w:p>
          <w:p w14:paraId="04D65D89" w14:textId="6D5C4DD0" w:rsidR="00CB3026" w:rsidRPr="003406F3" w:rsidRDefault="00CB3026" w:rsidP="004639E3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esta lección no se contempla la realización de ejercicios prácticos.</w:t>
            </w:r>
          </w:p>
        </w:tc>
      </w:tr>
      <w:tr w:rsidR="003406F3" w:rsidRPr="003406F3" w14:paraId="603967A2" w14:textId="77777777" w:rsidTr="00801300">
        <w:tc>
          <w:tcPr>
            <w:tcW w:w="9010" w:type="dxa"/>
            <w:gridSpan w:val="3"/>
            <w:vAlign w:val="center"/>
          </w:tcPr>
          <w:p w14:paraId="57B48D1E" w14:textId="77777777" w:rsidR="00CB3026" w:rsidRPr="003406F3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Evaluación/comprobación de conocimientos</w:t>
            </w:r>
          </w:p>
          <w:p w14:paraId="4496975B" w14:textId="71EF14F8" w:rsidR="00CB3026" w:rsidRPr="003406F3" w:rsidRDefault="00B468A3" w:rsidP="00B468A3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No se ha preparado ninguna evaluación formal para esta sesión.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Se anima al formador a que compruebe los conocimientos y la comprensión de los delegados formulando las preguntas pertinentes a lo largo de la sesión.</w:t>
            </w:r>
          </w:p>
        </w:tc>
      </w:tr>
    </w:tbl>
    <w:p w14:paraId="15498912" w14:textId="77777777" w:rsidR="00D82C18" w:rsidRPr="003406F3" w:rsidRDefault="00D82C18">
      <w:pPr>
        <w:rPr>
          <w:rFonts w:ascii="Verdana" w:hAnsi="Verdana"/>
        </w:rPr>
      </w:pPr>
    </w:p>
    <w:sectPr w:rsidR="00D82C18" w:rsidRPr="003406F3" w:rsidSect="00E95703">
      <w:pgSz w:w="11900" w:h="16840"/>
      <w:pgMar w:top="78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Times New Roman"/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91E"/>
    <w:multiLevelType w:val="hybridMultilevel"/>
    <w:tmpl w:val="47723308"/>
    <w:lvl w:ilvl="0" w:tplc="1C3A5E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849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0EE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499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4AA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85D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44E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CC41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E5C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105DD4"/>
    <w:rsid w:val="00151ADF"/>
    <w:rsid w:val="00175ADE"/>
    <w:rsid w:val="00185B76"/>
    <w:rsid w:val="001B428D"/>
    <w:rsid w:val="001B5DAD"/>
    <w:rsid w:val="00271010"/>
    <w:rsid w:val="0027512B"/>
    <w:rsid w:val="002F375E"/>
    <w:rsid w:val="003406F3"/>
    <w:rsid w:val="00357C78"/>
    <w:rsid w:val="003630ED"/>
    <w:rsid w:val="00397FEA"/>
    <w:rsid w:val="003E0EDB"/>
    <w:rsid w:val="004639E3"/>
    <w:rsid w:val="0051122C"/>
    <w:rsid w:val="00534FB7"/>
    <w:rsid w:val="005703B7"/>
    <w:rsid w:val="00594B3F"/>
    <w:rsid w:val="005951B6"/>
    <w:rsid w:val="005A4E47"/>
    <w:rsid w:val="006B6864"/>
    <w:rsid w:val="006F4B1A"/>
    <w:rsid w:val="007169BB"/>
    <w:rsid w:val="00761BA4"/>
    <w:rsid w:val="007B75A9"/>
    <w:rsid w:val="00823B30"/>
    <w:rsid w:val="008D7196"/>
    <w:rsid w:val="008E3FE7"/>
    <w:rsid w:val="009277BD"/>
    <w:rsid w:val="0094072C"/>
    <w:rsid w:val="009A46F5"/>
    <w:rsid w:val="00A00A58"/>
    <w:rsid w:val="00A03CF0"/>
    <w:rsid w:val="00A4110D"/>
    <w:rsid w:val="00A45C00"/>
    <w:rsid w:val="00A734A5"/>
    <w:rsid w:val="00AD2B58"/>
    <w:rsid w:val="00AF62EC"/>
    <w:rsid w:val="00B03741"/>
    <w:rsid w:val="00B468A3"/>
    <w:rsid w:val="00B569A5"/>
    <w:rsid w:val="00B71D66"/>
    <w:rsid w:val="00BB0093"/>
    <w:rsid w:val="00C03A1E"/>
    <w:rsid w:val="00C541A2"/>
    <w:rsid w:val="00C9640B"/>
    <w:rsid w:val="00CB02C4"/>
    <w:rsid w:val="00CB3026"/>
    <w:rsid w:val="00CF0C7C"/>
    <w:rsid w:val="00D82C18"/>
    <w:rsid w:val="00D944B5"/>
    <w:rsid w:val="00DB09DC"/>
    <w:rsid w:val="00E13BE7"/>
    <w:rsid w:val="00E17E67"/>
    <w:rsid w:val="00E55549"/>
    <w:rsid w:val="00E7344B"/>
    <w:rsid w:val="00E95703"/>
    <w:rsid w:val="00EB11FC"/>
    <w:rsid w:val="00F35B67"/>
    <w:rsid w:val="00F4792B"/>
    <w:rsid w:val="00F53802"/>
    <w:rsid w:val="00F62A15"/>
    <w:rsid w:val="00FC677E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FD902590-5B3F-DC4A-B1B9-EFF6D9B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es-ES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es-ES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paragraph" w:styleId="NormalWeb">
    <w:name w:val="Normal (Web)"/>
    <w:basedOn w:val="Normal"/>
    <w:uiPriority w:val="99"/>
    <w:semiHidden/>
    <w:unhideWhenUsed/>
    <w:rsid w:val="00151A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B. Stam</cp:lastModifiedBy>
  <cp:revision>2</cp:revision>
  <dcterms:created xsi:type="dcterms:W3CDTF">2020-09-23T15:40:00Z</dcterms:created>
  <dcterms:modified xsi:type="dcterms:W3CDTF">2020-09-23T15:40:00Z</dcterms:modified>
</cp:coreProperties>
</file>