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3DD02D" w14:textId="576414B2" w:rsidR="00D82C18" w:rsidRPr="00B3608C" w:rsidRDefault="00B3608C" w:rsidP="000F7896">
      <w:pPr>
        <w:rPr>
          <w:rFonts w:ascii="Verdana" w:hAnsi="Verdana"/>
        </w:rPr>
      </w:pPr>
      <w:r>
        <w:rPr>
          <w:sz w:val="28"/>
          <w:szCs w:val="28"/>
          <w:rFonts w:ascii="Verdana" w:hAnsi="Verdana"/>
        </w:rPr>
        <w:t xml:space="preserve">Lección 2.5 Poderes procesales en virtud del Convenio de Budapest - Parte 2</w:t>
      </w:r>
    </w:p>
    <w:p w14:paraId="1D0E3DC5" w14:textId="77777777" w:rsidR="00C115FC" w:rsidRPr="00C115FC" w:rsidRDefault="00C115FC" w:rsidP="00C115FC">
      <w:pPr>
        <w:ind w:left="360"/>
        <w:rPr>
          <w:rFonts w:ascii="Verdana" w:hAnsi="Verdana"/>
        </w:rPr>
      </w:pPr>
    </w:p>
    <w:tbl>
      <w:tblPr>
        <w:tblStyle w:val="TableGrid"/>
        <w:tblW w:w="0" w:type="auto"/>
        <w:tblLayout w:type="fixed"/>
        <w:tblLook w:val="04A0" w:firstRow="1" w:lastRow="0" w:firstColumn="1" w:lastColumn="0" w:noHBand="0" w:noVBand="1"/>
      </w:tblPr>
      <w:tblGrid>
        <w:gridCol w:w="1525"/>
        <w:gridCol w:w="5320"/>
        <w:gridCol w:w="2165"/>
      </w:tblGrid>
      <w:tr w:rsidR="00C115FC" w:rsidRPr="00D82C18" w14:paraId="58A3485E" w14:textId="77777777" w:rsidTr="00F1574D">
        <w:trPr>
          <w:trHeight w:val="872"/>
        </w:trPr>
        <w:tc>
          <w:tcPr>
            <w:tcW w:w="6845" w:type="dxa"/>
            <w:gridSpan w:val="2"/>
            <w:shd w:val="clear" w:color="auto" w:fill="DEEAF6" w:themeFill="accent5" w:themeFillTint="33"/>
            <w:vAlign w:val="center"/>
          </w:tcPr>
          <w:p w14:paraId="0067FF35" w14:textId="6342DA76" w:rsidR="00D82C18" w:rsidRPr="00D82C18" w:rsidRDefault="00C115FC" w:rsidP="00C115FC">
            <w:pPr>
              <w:rPr>
                <w:sz w:val="22"/>
                <w:szCs w:val="22"/>
                <w:rFonts w:ascii="Verdana" w:hAnsi="Verdana"/>
              </w:rPr>
            </w:pPr>
            <w:r>
              <w:rPr>
                <w:sz w:val="22"/>
                <w:szCs w:val="22"/>
                <w:rFonts w:ascii="Verdana" w:hAnsi="Verdana"/>
              </w:rPr>
              <w:t xml:space="preserve">Lección 2.5 Poderes procesales en virtud del Convenio de Budapest - Parte 2</w:t>
            </w:r>
          </w:p>
        </w:tc>
        <w:tc>
          <w:tcPr>
            <w:tcW w:w="2165" w:type="dxa"/>
            <w:shd w:val="clear" w:color="auto" w:fill="DEEAF6" w:themeFill="accent5" w:themeFillTint="33"/>
            <w:vAlign w:val="center"/>
          </w:tcPr>
          <w:p w14:paraId="30B631DA" w14:textId="24980FBA" w:rsidR="00D82C18" w:rsidRPr="00D82C18" w:rsidRDefault="00D82C18" w:rsidP="00C115FC">
            <w:pPr>
              <w:rPr>
                <w:sz w:val="22"/>
                <w:szCs w:val="22"/>
                <w:rFonts w:ascii="Verdana" w:hAnsi="Verdana"/>
              </w:rPr>
            </w:pPr>
            <w:r>
              <w:rPr>
                <w:sz w:val="22"/>
                <w:szCs w:val="22"/>
                <w:rFonts w:ascii="Verdana" w:hAnsi="Verdana"/>
              </w:rPr>
              <w:t xml:space="preserve">Duración:</w:t>
            </w:r>
            <w:r>
              <w:rPr>
                <w:sz w:val="22"/>
                <w:szCs w:val="22"/>
                <w:rFonts w:ascii="Verdana" w:hAnsi="Verdana"/>
              </w:rPr>
              <w:t xml:space="preserve"> </w:t>
            </w:r>
            <w:r>
              <w:rPr>
                <w:sz w:val="22"/>
                <w:szCs w:val="22"/>
                <w:color w:val="000000" w:themeColor="text1"/>
                <w:rFonts w:ascii="Verdana" w:hAnsi="Verdana"/>
              </w:rPr>
              <w:t xml:space="preserve">90 minutos</w:t>
            </w:r>
            <w:r>
              <w:rPr>
                <w:sz w:val="22"/>
                <w:szCs w:val="22"/>
                <w:color w:val="000000" w:themeColor="text1"/>
                <w:rFonts w:ascii="Verdana" w:hAnsi="Verdana"/>
              </w:rPr>
              <w:t xml:space="preserve"> </w:t>
            </w:r>
          </w:p>
        </w:tc>
      </w:tr>
      <w:tr w:rsidR="00E7344B" w:rsidRPr="00D82C18" w14:paraId="7C1107AB" w14:textId="77777777" w:rsidTr="00A439ED">
        <w:trPr>
          <w:trHeight w:val="1727"/>
        </w:trPr>
        <w:tc>
          <w:tcPr>
            <w:tcW w:w="9010" w:type="dxa"/>
            <w:gridSpan w:val="3"/>
            <w:vAlign w:val="center"/>
          </w:tcPr>
          <w:p w14:paraId="0B1C3404" w14:textId="53612A3F" w:rsidR="00E7344B" w:rsidRPr="000F7896" w:rsidRDefault="00E7344B" w:rsidP="000F7896">
            <w:pPr>
              <w:spacing w:after="120" w:line="280" w:lineRule="exact"/>
              <w:rPr>
                <w:b/>
                <w:sz w:val="22"/>
                <w:szCs w:val="22"/>
                <w:rFonts w:ascii="Verdana" w:hAnsi="Verdana"/>
              </w:rPr>
            </w:pPr>
            <w:r>
              <w:rPr>
                <w:b/>
                <w:sz w:val="22"/>
                <w:szCs w:val="22"/>
                <w:rFonts w:ascii="Verdana" w:hAnsi="Verdana"/>
              </w:rPr>
              <w:t xml:space="preserve">Recursos necesarios:</w:t>
            </w:r>
            <w:r>
              <w:rPr>
                <w:b/>
                <w:sz w:val="22"/>
                <w:szCs w:val="22"/>
                <w:rFonts w:ascii="Verdana" w:hAnsi="Verdana"/>
              </w:rPr>
              <w:t xml:space="preserve"> </w:t>
            </w:r>
          </w:p>
          <w:p w14:paraId="060400D8" w14:textId="77777777" w:rsidR="000F7896" w:rsidRPr="000F7896" w:rsidRDefault="000F7896" w:rsidP="000F7896">
            <w:pPr>
              <w:pStyle w:val="bul1"/>
              <w:numPr>
                <w:ilvl w:val="0"/>
                <w:numId w:val="6"/>
              </w:numPr>
              <w:spacing w:line="280" w:lineRule="exact"/>
              <w:rPr>
                <w:rFonts w:ascii="Symbol" w:hAnsi="Symbol"/>
              </w:rPr>
            </w:pPr>
            <w:r>
              <w:t xml:space="preserve">PC/portátil cargado con versiones de software compatibles con los materiales preparados</w:t>
            </w:r>
            <w:r>
              <w:t xml:space="preserve"> </w:t>
            </w:r>
          </w:p>
          <w:p w14:paraId="62A10C2C" w14:textId="77777777" w:rsidR="000F7896" w:rsidRPr="000F7896" w:rsidRDefault="000F7896" w:rsidP="000F7896">
            <w:pPr>
              <w:pStyle w:val="bul1"/>
              <w:numPr>
                <w:ilvl w:val="0"/>
                <w:numId w:val="6"/>
              </w:numPr>
              <w:spacing w:line="280" w:lineRule="exact"/>
              <w:rPr>
                <w:rFonts w:ascii="Symbol" w:hAnsi="Symbol"/>
              </w:rPr>
            </w:pPr>
            <w:r>
              <w:t xml:space="preserve">Acceso a Internet (si está disponible)</w:t>
            </w:r>
            <w:r>
              <w:t xml:space="preserve"> </w:t>
            </w:r>
          </w:p>
          <w:p w14:paraId="575CEC8B" w14:textId="7FC1824F" w:rsidR="000F7896" w:rsidRPr="00AC1380" w:rsidRDefault="000F7896" w:rsidP="000F7896">
            <w:pPr>
              <w:pStyle w:val="bul1"/>
              <w:numPr>
                <w:ilvl w:val="0"/>
                <w:numId w:val="6"/>
              </w:numPr>
              <w:spacing w:line="280" w:lineRule="exact"/>
              <w:rPr>
                <w:rFonts w:ascii="Symbol" w:hAnsi="Symbol"/>
              </w:rPr>
            </w:pPr>
            <w:r>
              <w:t xml:space="preserve">PowerPoint u otra presentación</w:t>
            </w:r>
            <w:r>
              <w:t xml:space="preserve"> </w:t>
            </w:r>
          </w:p>
          <w:p w14:paraId="14CF9EF0" w14:textId="1ED885BC" w:rsidR="000F7896" w:rsidRPr="00A439ED" w:rsidRDefault="000F7896" w:rsidP="00A439ED">
            <w:pPr>
              <w:pStyle w:val="bul1"/>
              <w:numPr>
                <w:ilvl w:val="0"/>
                <w:numId w:val="6"/>
              </w:numPr>
              <w:spacing w:line="280" w:lineRule="exact"/>
              <w:rPr>
                <w:rFonts w:ascii="Symbol" w:hAnsi="Symbol"/>
              </w:rPr>
            </w:pPr>
            <w:r>
              <w:t xml:space="preserve">Copia del Convenio de Budapest</w:t>
            </w:r>
          </w:p>
        </w:tc>
      </w:tr>
      <w:tr w:rsidR="00E7344B" w:rsidRPr="00D82C18" w14:paraId="635F2EFD" w14:textId="77777777" w:rsidTr="00F1574D">
        <w:trPr>
          <w:trHeight w:val="2879"/>
        </w:trPr>
        <w:tc>
          <w:tcPr>
            <w:tcW w:w="9010" w:type="dxa"/>
            <w:gridSpan w:val="3"/>
            <w:vAlign w:val="center"/>
          </w:tcPr>
          <w:p w14:paraId="34602AF3" w14:textId="77777777" w:rsidR="00A03CF0" w:rsidRDefault="00A03CF0" w:rsidP="00F62A15">
            <w:pPr>
              <w:spacing w:before="120" w:after="120" w:line="280" w:lineRule="exact"/>
              <w:rPr>
                <w:b/>
                <w:sz w:val="22"/>
                <w:szCs w:val="22"/>
                <w:rFonts w:ascii="Verdana" w:hAnsi="Verdana"/>
              </w:rPr>
            </w:pPr>
            <w:r>
              <w:rPr>
                <w:b/>
                <w:sz w:val="22"/>
                <w:szCs w:val="22"/>
                <w:rFonts w:ascii="Verdana" w:hAnsi="Verdana"/>
              </w:rPr>
              <w:t xml:space="preserve">Propósito de la sesión:</w:t>
            </w:r>
            <w:r>
              <w:rPr>
                <w:b/>
                <w:sz w:val="22"/>
                <w:szCs w:val="22"/>
                <w:rFonts w:ascii="Verdana" w:hAnsi="Verdana"/>
              </w:rPr>
              <w:t xml:space="preserve">  </w:t>
            </w:r>
          </w:p>
          <w:p w14:paraId="3FE58655" w14:textId="07BE3037" w:rsidR="00A03CF0" w:rsidRPr="000F7896" w:rsidRDefault="00BA7368" w:rsidP="00FA5D5D">
            <w:pPr>
              <w:spacing w:before="120" w:after="120" w:line="280" w:lineRule="exact"/>
              <w:jc w:val="both"/>
              <w:rPr>
                <w:i/>
                <w:color w:val="FF0000"/>
                <w:sz w:val="18"/>
                <w:szCs w:val="18"/>
                <w:rFonts w:ascii="Verdana" w:hAnsi="Verdana"/>
              </w:rPr>
            </w:pPr>
            <w:r>
              <w:rPr>
                <w:sz w:val="18"/>
                <w:szCs w:val="18"/>
                <w:rFonts w:ascii="Verdana" w:hAnsi="Verdana"/>
              </w:rPr>
              <w:t xml:space="preserve">El propósito de esta sesión es que los participantes conozcan a fondo los elementos de los poderes procesales relacionados con el registro y la confiscación de los datos informáticos almacenados, la obtención en tiempo real de los datos relativos al tráfico y la interceptación de los datos relativos al contenido, así como el ámbito jurisdiccional del Convenio de Budapest.</w:t>
            </w:r>
            <w:r>
              <w:rPr>
                <w:sz w:val="18"/>
                <w:szCs w:val="18"/>
                <w:rFonts w:ascii="Verdana" w:hAnsi="Verdana"/>
              </w:rPr>
              <w:t xml:space="preserve"> </w:t>
            </w:r>
            <w:r>
              <w:rPr>
                <w:sz w:val="18"/>
                <w:szCs w:val="18"/>
                <w:rFonts w:ascii="Verdana" w:hAnsi="Verdana"/>
              </w:rPr>
              <w:t xml:space="preserve">Durante la sesión se tratará en detalle cada uno de los elementos de los artículos 19 (registro y confiscación), 20 (obtención en tiempo real de los datos relativos al tráfico), 21 (interceptación de los datos relativos al contenido) y 22 (jurisdicción).</w:t>
            </w:r>
            <w:r>
              <w:rPr>
                <w:sz w:val="18"/>
                <w:szCs w:val="18"/>
                <w:rFonts w:ascii="Verdana" w:hAnsi="Verdana"/>
              </w:rPr>
              <w:t xml:space="preserve"> </w:t>
            </w:r>
          </w:p>
        </w:tc>
      </w:tr>
      <w:tr w:rsidR="00A03CF0" w:rsidRPr="00D82C18" w14:paraId="1B5A80A7" w14:textId="77777777" w:rsidTr="00221092">
        <w:trPr>
          <w:trHeight w:val="53"/>
        </w:trPr>
        <w:tc>
          <w:tcPr>
            <w:tcW w:w="9010" w:type="dxa"/>
            <w:gridSpan w:val="3"/>
            <w:vAlign w:val="center"/>
          </w:tcPr>
          <w:p w14:paraId="51C5C5B8" w14:textId="77777777" w:rsidR="0099769B" w:rsidRPr="00271010" w:rsidRDefault="0099769B" w:rsidP="0099769B">
            <w:pPr>
              <w:spacing w:before="120" w:after="120" w:line="280" w:lineRule="exact"/>
              <w:contextualSpacing/>
              <w:rPr>
                <w:b/>
                <w:sz w:val="22"/>
                <w:szCs w:val="22"/>
                <w:rFonts w:ascii="Verdana" w:hAnsi="Verdana"/>
              </w:rPr>
            </w:pPr>
            <w:r>
              <w:rPr>
                <w:b/>
                <w:sz w:val="22"/>
                <w:szCs w:val="22"/>
                <w:rFonts w:ascii="Verdana" w:hAnsi="Verdana"/>
              </w:rPr>
              <w:t xml:space="preserve">Objetivos:</w:t>
            </w:r>
          </w:p>
          <w:p w14:paraId="2B3F10F1" w14:textId="77777777" w:rsidR="0099769B" w:rsidRPr="00AC1380" w:rsidRDefault="0099769B" w:rsidP="0099769B">
            <w:pPr>
              <w:tabs>
                <w:tab w:val="left" w:pos="426"/>
                <w:tab w:val="left" w:pos="851"/>
              </w:tabs>
              <w:rPr>
                <w:sz w:val="18"/>
                <w:szCs w:val="18"/>
                <w:rFonts w:ascii="Verdana" w:eastAsia="Times New Roman" w:hAnsi="Verdana" w:cs="Times New Roman"/>
              </w:rPr>
            </w:pPr>
            <w:r>
              <w:rPr>
                <w:sz w:val="18"/>
                <w:szCs w:val="18"/>
                <w:rFonts w:ascii="Verdana" w:hAnsi="Verdana"/>
              </w:rPr>
              <w:t xml:space="preserve">Al final de esta sesión los delegados podrán:</w:t>
            </w:r>
          </w:p>
          <w:p w14:paraId="2D79B303" w14:textId="77777777" w:rsidR="00394E20" w:rsidRPr="00394E20" w:rsidRDefault="00FC23CB" w:rsidP="0099769B">
            <w:pPr>
              <w:pStyle w:val="bul1"/>
              <w:numPr>
                <w:ilvl w:val="0"/>
                <w:numId w:val="11"/>
              </w:numPr>
            </w:pPr>
            <w:r>
              <w:t xml:space="preserve">Identificar los elementos de los poderes procesales de:</w:t>
            </w:r>
            <w:r>
              <w:t xml:space="preserve">  </w:t>
            </w:r>
          </w:p>
          <w:p w14:paraId="30D53C2E" w14:textId="77777777" w:rsidR="00394E20" w:rsidRPr="00394E20" w:rsidRDefault="0099769B" w:rsidP="0099769B">
            <w:pPr>
              <w:pStyle w:val="bul1"/>
              <w:numPr>
                <w:ilvl w:val="0"/>
                <w:numId w:val="12"/>
              </w:numPr>
            </w:pPr>
            <w:r>
              <w:t xml:space="preserve">Registro y confiscación de datos informáticos almacenados</w:t>
            </w:r>
            <w:r>
              <w:t xml:space="preserve"> </w:t>
            </w:r>
          </w:p>
          <w:p w14:paraId="7F726C20" w14:textId="77777777" w:rsidR="00394E20" w:rsidRPr="00394E20" w:rsidRDefault="0099769B" w:rsidP="0099769B">
            <w:pPr>
              <w:pStyle w:val="bul1"/>
              <w:numPr>
                <w:ilvl w:val="0"/>
                <w:numId w:val="12"/>
              </w:numPr>
            </w:pPr>
            <w:r>
              <w:t xml:space="preserve">Obtención en tiempo real de datos relativos al tráfico</w:t>
            </w:r>
          </w:p>
          <w:p w14:paraId="63AB0966" w14:textId="77777777" w:rsidR="0099769B" w:rsidRPr="00192BC7" w:rsidRDefault="0099769B" w:rsidP="0099769B">
            <w:pPr>
              <w:pStyle w:val="bul1"/>
              <w:numPr>
                <w:ilvl w:val="0"/>
                <w:numId w:val="12"/>
              </w:numPr>
            </w:pPr>
            <w:r>
              <w:t xml:space="preserve">Interceptación de datos relativos al contenido</w:t>
            </w:r>
          </w:p>
          <w:p w14:paraId="61ABEAC5" w14:textId="33947EF9" w:rsidR="001E7389" w:rsidRPr="0099769B" w:rsidRDefault="0099769B" w:rsidP="0099769B">
            <w:pPr>
              <w:pStyle w:val="bul1"/>
              <w:numPr>
                <w:ilvl w:val="0"/>
                <w:numId w:val="11"/>
              </w:numPr>
            </w:pPr>
            <w:r>
              <w:t xml:space="preserve">Comprender el ámbito jurisdiccional del Convenio de Budapest</w:t>
            </w:r>
          </w:p>
        </w:tc>
      </w:tr>
      <w:tr w:rsidR="005703B7" w:rsidRPr="00D82C18" w14:paraId="03110757" w14:textId="77777777" w:rsidTr="00AC45A8">
        <w:trPr>
          <w:trHeight w:val="5802"/>
        </w:trPr>
        <w:tc>
          <w:tcPr>
            <w:tcW w:w="9010" w:type="dxa"/>
            <w:gridSpan w:val="3"/>
            <w:tcBorders>
              <w:bottom w:val="single" w:sz="4" w:space="0" w:color="auto"/>
            </w:tcBorders>
            <w:vAlign w:val="center"/>
          </w:tcPr>
          <w:p w14:paraId="7A064E85" w14:textId="77777777" w:rsidR="005703B7" w:rsidRPr="002F3B54" w:rsidRDefault="00E95703" w:rsidP="00F62A15">
            <w:pPr>
              <w:spacing w:before="120" w:after="120" w:line="280" w:lineRule="exact"/>
              <w:rPr>
                <w:b/>
                <w:color w:val="000000" w:themeColor="text1"/>
                <w:sz w:val="22"/>
                <w:szCs w:val="22"/>
                <w:rFonts w:ascii="Verdana" w:hAnsi="Verdana"/>
              </w:rPr>
            </w:pPr>
            <w:r>
              <w:rPr>
                <w:b/>
                <w:color w:val="000000" w:themeColor="text1"/>
                <w:sz w:val="22"/>
                <w:szCs w:val="22"/>
                <w:rFonts w:ascii="Verdana" w:hAnsi="Verdana"/>
              </w:rPr>
              <w:t xml:space="preserve">Pautas para los formadores</w:t>
            </w:r>
          </w:p>
          <w:p w14:paraId="3D135B9C" w14:textId="4F345744" w:rsidR="0099769B" w:rsidRDefault="0099769B" w:rsidP="0099769B">
            <w:pPr>
              <w:spacing w:before="120" w:after="120" w:line="280" w:lineRule="exact"/>
              <w:jc w:val="both"/>
              <w:rPr>
                <w:sz w:val="18"/>
                <w:szCs w:val="18"/>
                <w:rFonts w:ascii="Verdana" w:hAnsi="Verdana"/>
              </w:rPr>
            </w:pPr>
            <w:r>
              <w:rPr>
                <w:sz w:val="18"/>
                <w:szCs w:val="18"/>
                <w:rFonts w:ascii="Verdana" w:hAnsi="Verdana"/>
              </w:rPr>
              <w:t xml:space="preserve">Esta sesión se ha preparado para que los delegados conozcan a fondo las disposiciones de derecho procesal expuestas en el capítulo II, sección 2.</w:t>
            </w:r>
            <w:r>
              <w:rPr>
                <w:sz w:val="18"/>
                <w:szCs w:val="18"/>
                <w:rFonts w:ascii="Verdana" w:hAnsi="Verdana"/>
              </w:rPr>
              <w:t xml:space="preserve"> </w:t>
            </w:r>
            <w:r>
              <w:rPr>
                <w:sz w:val="18"/>
                <w:szCs w:val="18"/>
                <w:rFonts w:ascii="Verdana" w:hAnsi="Verdana"/>
              </w:rPr>
              <w:t xml:space="preserve">Esta sesión se ha dividido en cuatro partes, además de contener una introducción y una conclusión.</w:t>
            </w:r>
            <w:r>
              <w:rPr>
                <w:sz w:val="18"/>
                <w:szCs w:val="18"/>
                <w:rFonts w:ascii="Verdana" w:hAnsi="Verdana"/>
              </w:rPr>
              <w:t xml:space="preserve"> </w:t>
            </w:r>
            <w:r>
              <w:rPr>
                <w:sz w:val="18"/>
                <w:szCs w:val="18"/>
                <w:rFonts w:ascii="Verdana" w:hAnsi="Verdana"/>
              </w:rPr>
              <w:t xml:space="preserve">La primera parte abarca el registro y la confiscación de los datos informáticos almacenados.</w:t>
            </w:r>
            <w:r>
              <w:rPr>
                <w:sz w:val="18"/>
                <w:szCs w:val="18"/>
                <w:rFonts w:ascii="Verdana" w:hAnsi="Verdana"/>
              </w:rPr>
              <w:t xml:space="preserve"> </w:t>
            </w:r>
            <w:r>
              <w:rPr>
                <w:sz w:val="18"/>
                <w:szCs w:val="18"/>
                <w:rFonts w:ascii="Verdana" w:hAnsi="Verdana"/>
              </w:rPr>
              <w:t xml:space="preserve">La segunda parte se refiere a la obtención en tiempo real de los datos relativos al tráfico.</w:t>
            </w:r>
            <w:r>
              <w:rPr>
                <w:sz w:val="18"/>
                <w:szCs w:val="18"/>
                <w:rFonts w:ascii="Verdana" w:hAnsi="Verdana"/>
              </w:rPr>
              <w:t xml:space="preserve"> </w:t>
            </w:r>
            <w:r>
              <w:rPr>
                <w:sz w:val="18"/>
                <w:szCs w:val="18"/>
                <w:rFonts w:ascii="Verdana" w:hAnsi="Verdana"/>
              </w:rPr>
              <w:t xml:space="preserve">En la tercera parte se analiza la interceptación de los datos relativos al contenido.</w:t>
            </w:r>
            <w:r>
              <w:rPr>
                <w:sz w:val="18"/>
                <w:szCs w:val="18"/>
                <w:rFonts w:ascii="Verdana" w:hAnsi="Verdana"/>
              </w:rPr>
              <w:t xml:space="preserve"> </w:t>
            </w:r>
            <w:r>
              <w:rPr>
                <w:sz w:val="18"/>
                <w:szCs w:val="18"/>
                <w:rFonts w:ascii="Verdana" w:hAnsi="Verdana"/>
              </w:rPr>
              <w:t xml:space="preserve">La cuarta parte abarca el ámbito de jurisdiccional del Convenio de Budapest.</w:t>
            </w:r>
            <w:r>
              <w:rPr>
                <w:sz w:val="18"/>
                <w:szCs w:val="18"/>
                <w:rFonts w:ascii="Verdana" w:hAnsi="Verdana"/>
              </w:rPr>
              <w:t xml:space="preserve"> </w:t>
            </w:r>
          </w:p>
          <w:p w14:paraId="4F3DE3CE" w14:textId="77777777" w:rsidR="00FC23CB" w:rsidRDefault="0099769B" w:rsidP="0099769B">
            <w:pPr>
              <w:spacing w:before="120" w:after="120" w:line="280" w:lineRule="exact"/>
              <w:jc w:val="both"/>
              <w:rPr>
                <w:sz w:val="18"/>
                <w:szCs w:val="18"/>
                <w:rFonts w:ascii="Verdana" w:hAnsi="Verdana"/>
              </w:rPr>
            </w:pPr>
            <w:r>
              <w:rPr>
                <w:sz w:val="18"/>
                <w:szCs w:val="18"/>
                <w:rFonts w:ascii="Verdana" w:hAnsi="Verdana"/>
              </w:rPr>
              <w:t xml:space="preserve">Antes de llevar a cabo esta sesión, se recomienda que el formador revise los párrafos 184 - 239 del </w:t>
            </w:r>
            <w:hyperlink r:id="rId5" w:history="1">
              <w:r>
                <w:rPr>
                  <w:rStyle w:val="Hyperlink"/>
                  <w:sz w:val="18"/>
                  <w:szCs w:val="18"/>
                  <w:rFonts w:ascii="Verdana" w:hAnsi="Verdana"/>
                </w:rPr>
                <w:t xml:space="preserve">Informe explicativo del Convenio sobre la Ciberdelincuencia</w:t>
              </w:r>
            </w:hyperlink>
            <w:r>
              <w:rPr>
                <w:sz w:val="18"/>
                <w:szCs w:val="18"/>
                <w:rFonts w:ascii="Verdana" w:hAnsi="Verdana"/>
              </w:rPr>
              <w:t xml:space="preserve">.</w:t>
            </w:r>
          </w:p>
          <w:p w14:paraId="5EFF4BEF" w14:textId="1459421C" w:rsidR="00070C94" w:rsidRPr="00E95703" w:rsidRDefault="00070C94" w:rsidP="0099769B">
            <w:pPr>
              <w:spacing w:before="120" w:after="120" w:line="280" w:lineRule="exact"/>
              <w:jc w:val="both"/>
              <w:rPr>
                <w:sz w:val="18"/>
                <w:szCs w:val="18"/>
                <w:rFonts w:ascii="Verdana" w:hAnsi="Verdana"/>
              </w:rPr>
            </w:pPr>
            <w:r>
              <w:rPr>
                <w:sz w:val="18"/>
                <w:szCs w:val="18"/>
                <w:rFonts w:ascii="Verdana" w:hAnsi="Verdana"/>
              </w:rPr>
              <w:t xml:space="preserve">El formador puede fomentar un debate sobre cómo se ha establecido cada una de las disposiciones que se tratan en esta sesión según el derecho nacional.</w:t>
            </w:r>
          </w:p>
        </w:tc>
      </w:tr>
      <w:tr w:rsidR="005A4E47" w:rsidRPr="00D82C18" w14:paraId="7760520D" w14:textId="77777777" w:rsidTr="00F1574D">
        <w:trPr>
          <w:trHeight w:val="728"/>
        </w:trPr>
        <w:tc>
          <w:tcPr>
            <w:tcW w:w="9010" w:type="dxa"/>
            <w:gridSpan w:val="3"/>
            <w:tcBorders>
              <w:bottom w:val="single" w:sz="4" w:space="0" w:color="auto"/>
            </w:tcBorders>
            <w:shd w:val="clear" w:color="auto" w:fill="D9E2F3" w:themeFill="accent1" w:themeFillTint="33"/>
            <w:vAlign w:val="center"/>
          </w:tcPr>
          <w:p w14:paraId="3F533D38" w14:textId="77777777" w:rsidR="005A4E47" w:rsidRPr="00CB3026" w:rsidRDefault="005A4E47" w:rsidP="00CB3026">
            <w:pPr>
              <w:rPr>
                <w:b/>
                <w:sz w:val="28"/>
                <w:szCs w:val="28"/>
                <w:rFonts w:ascii="Verdana" w:hAnsi="Verdana"/>
              </w:rPr>
            </w:pPr>
            <w:r>
              <w:rPr>
                <w:b/>
                <w:sz w:val="28"/>
                <w:szCs w:val="28"/>
                <w:rFonts w:ascii="Verdana" w:hAnsi="Verdana"/>
              </w:rPr>
              <w:t xml:space="preserve">Contenido de la lección</w:t>
            </w:r>
          </w:p>
        </w:tc>
      </w:tr>
      <w:tr w:rsidR="00F1574D" w:rsidRPr="00D82C18" w14:paraId="57CC7AA4" w14:textId="77777777" w:rsidTr="00F1574D">
        <w:trPr>
          <w:trHeight w:val="629"/>
        </w:trPr>
        <w:tc>
          <w:tcPr>
            <w:tcW w:w="1525" w:type="dxa"/>
            <w:shd w:val="clear" w:color="auto" w:fill="D9E2F3" w:themeFill="accent1" w:themeFillTint="33"/>
            <w:vAlign w:val="center"/>
          </w:tcPr>
          <w:p w14:paraId="4538C338" w14:textId="77777777" w:rsidR="00D82C18" w:rsidRPr="00E13BE7" w:rsidRDefault="00E13BE7" w:rsidP="00CB3026">
            <w:pPr>
              <w:jc w:val="center"/>
              <w:rPr>
                <w:b/>
                <w:sz w:val="22"/>
                <w:szCs w:val="22"/>
                <w:rFonts w:ascii="Verdana" w:hAnsi="Verdana"/>
              </w:rPr>
            </w:pPr>
            <w:r>
              <w:rPr>
                <w:b/>
                <w:sz w:val="22"/>
                <w:szCs w:val="22"/>
                <w:rFonts w:ascii="Verdana" w:hAnsi="Verdana"/>
              </w:rPr>
              <w:t xml:space="preserve">Números de las diapositivas</w:t>
            </w:r>
          </w:p>
        </w:tc>
        <w:tc>
          <w:tcPr>
            <w:tcW w:w="7485" w:type="dxa"/>
            <w:gridSpan w:val="2"/>
            <w:shd w:val="clear" w:color="auto" w:fill="D9E2F3" w:themeFill="accent1" w:themeFillTint="33"/>
            <w:vAlign w:val="center"/>
          </w:tcPr>
          <w:p w14:paraId="2DA616FC" w14:textId="77777777" w:rsidR="00D82C18" w:rsidRPr="00E13BE7" w:rsidRDefault="00E13BE7">
            <w:pPr>
              <w:rPr>
                <w:b/>
                <w:sz w:val="22"/>
                <w:szCs w:val="22"/>
                <w:rFonts w:ascii="Verdana" w:hAnsi="Verdana"/>
              </w:rPr>
            </w:pPr>
            <w:r>
              <w:rPr>
                <w:b/>
                <w:sz w:val="22"/>
                <w:szCs w:val="22"/>
                <w:rFonts w:ascii="Verdana" w:hAnsi="Verdana"/>
              </w:rPr>
              <w:t xml:space="preserve">Contenido</w:t>
            </w:r>
          </w:p>
        </w:tc>
      </w:tr>
      <w:tr w:rsidR="00F1574D" w:rsidRPr="00D82C18" w14:paraId="11A12D7E" w14:textId="77777777" w:rsidTr="000F04E4">
        <w:trPr>
          <w:trHeight w:val="591"/>
        </w:trPr>
        <w:tc>
          <w:tcPr>
            <w:tcW w:w="1525" w:type="dxa"/>
            <w:vAlign w:val="center"/>
          </w:tcPr>
          <w:p w14:paraId="67083237" w14:textId="207A1282" w:rsidR="00D82C18" w:rsidRDefault="003630ED" w:rsidP="00F1574D">
            <w:pPr>
              <w:spacing w:before="120" w:after="120" w:line="280" w:lineRule="exact"/>
              <w:jc w:val="center"/>
              <w:rPr>
                <w:sz w:val="18"/>
                <w:szCs w:val="18"/>
                <w:rFonts w:ascii="Verdana" w:hAnsi="Verdana"/>
              </w:rPr>
            </w:pPr>
            <w:r>
              <w:rPr>
                <w:sz w:val="18"/>
                <w:szCs w:val="18"/>
                <w:rFonts w:ascii="Verdana" w:hAnsi="Verdana"/>
              </w:rPr>
              <w:t xml:space="preserve">1 a 4</w:t>
            </w:r>
          </w:p>
          <w:p w14:paraId="5A89CF27" w14:textId="6863FBB0" w:rsidR="00F1574D" w:rsidRPr="00F62A15" w:rsidRDefault="00F1574D" w:rsidP="00F1574D">
            <w:pPr>
              <w:spacing w:before="120" w:after="120" w:line="280" w:lineRule="exact"/>
              <w:jc w:val="center"/>
              <w:rPr>
                <w:sz w:val="18"/>
                <w:szCs w:val="18"/>
                <w:rFonts w:ascii="Verdana" w:hAnsi="Verdana"/>
              </w:rPr>
            </w:pPr>
            <w:r>
              <w:rPr>
                <w:sz w:val="18"/>
                <w:szCs w:val="18"/>
                <w:rFonts w:ascii="Verdana" w:hAnsi="Verdana"/>
              </w:rPr>
              <w:t xml:space="preserve">Diapositivas obligatorias</w:t>
            </w:r>
          </w:p>
        </w:tc>
        <w:tc>
          <w:tcPr>
            <w:tcW w:w="7485" w:type="dxa"/>
            <w:gridSpan w:val="2"/>
            <w:vAlign w:val="center"/>
          </w:tcPr>
          <w:p w14:paraId="36345B59" w14:textId="4EFB5D9E" w:rsidR="00556D69" w:rsidRPr="00C70C5C" w:rsidRDefault="00556D69" w:rsidP="00314D32">
            <w:pPr>
              <w:spacing w:before="120" w:after="120" w:line="360" w:lineRule="auto"/>
              <w:jc w:val="both"/>
              <w:rPr>
                <w:color w:val="000000" w:themeColor="text1"/>
                <w:sz w:val="18"/>
                <w:szCs w:val="18"/>
                <w:rFonts w:ascii="Verdana" w:hAnsi="Verdana"/>
              </w:rPr>
            </w:pPr>
            <w:r>
              <w:rPr>
                <w:color w:val="000000" w:themeColor="text1"/>
                <w:sz w:val="18"/>
                <w:szCs w:val="18"/>
                <w:rFonts w:ascii="Verdana" w:hAnsi="Verdana"/>
              </w:rPr>
              <w:t xml:space="preserve">Las diapositivas de apertura sirven de introducción a la sesión e incluyen el programa, así como las metas y los objetivos de la sesión.</w:t>
            </w:r>
            <w:r>
              <w:rPr>
                <w:color w:val="000000" w:themeColor="text1"/>
                <w:sz w:val="18"/>
                <w:szCs w:val="18"/>
                <w:rFonts w:ascii="Verdana" w:hAnsi="Verdana"/>
              </w:rPr>
              <w:t xml:space="preserve"> </w:t>
            </w:r>
          </w:p>
        </w:tc>
      </w:tr>
      <w:tr w:rsidR="00F1574D" w:rsidRPr="00D82C18" w14:paraId="65F07CB5" w14:textId="77777777" w:rsidTr="00F1574D">
        <w:trPr>
          <w:trHeight w:val="1880"/>
        </w:trPr>
        <w:tc>
          <w:tcPr>
            <w:tcW w:w="1525" w:type="dxa"/>
            <w:vAlign w:val="center"/>
          </w:tcPr>
          <w:p w14:paraId="56AF6365" w14:textId="3F730876" w:rsidR="00D82C18" w:rsidRDefault="00C70C5C" w:rsidP="00F1574D">
            <w:pPr>
              <w:spacing w:before="120" w:after="120" w:line="280" w:lineRule="exact"/>
              <w:jc w:val="center"/>
              <w:rPr>
                <w:sz w:val="18"/>
                <w:szCs w:val="18"/>
                <w:rFonts w:ascii="Verdana" w:hAnsi="Verdana"/>
              </w:rPr>
            </w:pPr>
            <w:r>
              <w:rPr>
                <w:sz w:val="18"/>
                <w:szCs w:val="18"/>
                <w:rFonts w:ascii="Verdana" w:hAnsi="Verdana"/>
              </w:rPr>
              <w:t xml:space="preserve">5 a 18</w:t>
            </w:r>
          </w:p>
          <w:p w14:paraId="6F5AEB2D" w14:textId="242338E2" w:rsidR="00F1574D" w:rsidRPr="003630ED" w:rsidRDefault="00BA7368" w:rsidP="00F1574D">
            <w:pPr>
              <w:spacing w:before="120" w:after="120" w:line="280" w:lineRule="exact"/>
              <w:jc w:val="center"/>
              <w:rPr>
                <w:sz w:val="18"/>
                <w:szCs w:val="18"/>
                <w:rFonts w:ascii="Verdana" w:hAnsi="Verdana"/>
              </w:rPr>
            </w:pPr>
            <w:r>
              <w:rPr>
                <w:sz w:val="18"/>
                <w:szCs w:val="18"/>
                <w:rFonts w:ascii="Verdana" w:hAnsi="Verdana"/>
              </w:rPr>
              <w:t xml:space="preserve">Diapositivas obligatorias</w:t>
            </w:r>
          </w:p>
        </w:tc>
        <w:tc>
          <w:tcPr>
            <w:tcW w:w="7485" w:type="dxa"/>
            <w:gridSpan w:val="2"/>
            <w:vAlign w:val="center"/>
          </w:tcPr>
          <w:p w14:paraId="73838076" w14:textId="1A5A96D2" w:rsidR="00E66317" w:rsidRPr="00D01845" w:rsidRDefault="00E66317" w:rsidP="00E66317">
            <w:pPr>
              <w:pStyle w:val="Subtitle"/>
              <w:rPr>
                <w:szCs w:val="18"/>
                <w:rFonts w:ascii="Verdana" w:eastAsia="Times New Roman" w:hAnsi="Verdana"/>
              </w:rPr>
            </w:pPr>
            <w:r>
              <w:rPr>
                <w:szCs w:val="18"/>
                <w:rFonts w:ascii="Verdana" w:hAnsi="Verdana"/>
              </w:rPr>
              <w:t xml:space="preserve">En estas diapositivas se explican las disposiciones de derecho procesal relacionadas con el registro y la confiscación de datos informáticos almacenados en virtud del artículo 19 del Convenio de Budapest.</w:t>
            </w:r>
            <w:r>
              <w:rPr>
                <w:szCs w:val="18"/>
                <w:rFonts w:ascii="Verdana" w:hAnsi="Verdana"/>
              </w:rPr>
              <w:t xml:space="preserve"> </w:t>
            </w:r>
          </w:p>
          <w:p w14:paraId="16E41572" w14:textId="5D0A1C62" w:rsidR="00E66317" w:rsidRPr="00D01845" w:rsidRDefault="00E66317" w:rsidP="00E66317">
            <w:pPr>
              <w:pStyle w:val="Subtitle"/>
              <w:rPr>
                <w:szCs w:val="18"/>
                <w:rFonts w:ascii="Verdana" w:eastAsia="Times New Roman" w:hAnsi="Verdana"/>
              </w:rPr>
            </w:pPr>
            <w:r>
              <w:rPr>
                <w:szCs w:val="18"/>
                <w:rFonts w:ascii="Verdana" w:hAnsi="Verdana"/>
              </w:rPr>
              <w:t xml:space="preserve">La primera serie de diapositivas ofrece un resumen del poder procesal al que se hace referencia en el artículo 19 del Convenio de Budapest.</w:t>
            </w:r>
            <w:r>
              <w:rPr>
                <w:szCs w:val="18"/>
                <w:rFonts w:ascii="Verdana" w:hAnsi="Verdana"/>
              </w:rPr>
              <w:t xml:space="preserve"> </w:t>
            </w:r>
            <w:r>
              <w:rPr>
                <w:szCs w:val="18"/>
                <w:rFonts w:ascii="Verdana" w:hAnsi="Verdana"/>
              </w:rPr>
              <w:t xml:space="preserve">También se presentan dos estudios de caso para demostrar las diferentes formas en que se ha ejercido este poder, incluida la confiscación de dispositivos físicos de almacenamiento de datos y la imposibilidad de acceder a los datos informáticos.</w:t>
            </w:r>
            <w:r>
              <w:rPr>
                <w:szCs w:val="18"/>
                <w:rFonts w:ascii="Verdana" w:hAnsi="Verdana"/>
              </w:rPr>
              <w:t xml:space="preserve"> </w:t>
            </w:r>
          </w:p>
          <w:p w14:paraId="649FEA68" w14:textId="0619C603" w:rsidR="00DD3B85" w:rsidRPr="00150201" w:rsidRDefault="00E66317" w:rsidP="00150201">
            <w:pPr>
              <w:pStyle w:val="Subtitle"/>
              <w:spacing w:line="360" w:lineRule="auto"/>
              <w:rPr>
                <w:szCs w:val="18"/>
                <w:rFonts w:ascii="Verdana" w:eastAsia="Times New Roman" w:hAnsi="Verdana"/>
              </w:rPr>
            </w:pPr>
            <w:r>
              <w:rPr>
                <w:szCs w:val="18"/>
                <w:rFonts w:ascii="Verdana" w:hAnsi="Verdana"/>
              </w:rPr>
              <w:t xml:space="preserve">La información que se muestra en el próximo conjunto de las diapositivas se dispone en dos columnas.</w:t>
            </w:r>
            <w:r>
              <w:rPr>
                <w:szCs w:val="18"/>
                <w:rFonts w:ascii="Verdana" w:hAnsi="Verdana"/>
              </w:rPr>
              <w:t xml:space="preserve"> </w:t>
            </w:r>
            <w:r>
              <w:rPr>
                <w:szCs w:val="18"/>
                <w:rFonts w:ascii="Verdana" w:hAnsi="Verdana"/>
              </w:rPr>
              <w:t xml:space="preserve">En la columna de la izquierda se reproduce el texto del artículo 19 del Convenio de Budapest con un elemento específico resaltado, mientras que en la columna de la derecha se ofrece una explicación de dicho elemento.</w:t>
            </w:r>
            <w:r>
              <w:rPr>
                <w:szCs w:val="18"/>
                <w:rFonts w:ascii="Verdana" w:hAnsi="Verdana"/>
              </w:rPr>
              <w:t xml:space="preserve"> </w:t>
            </w:r>
            <w:r>
              <w:rPr>
                <w:szCs w:val="18"/>
                <w:rFonts w:ascii="Verdana" w:hAnsi="Verdana"/>
              </w:rPr>
              <w:t xml:space="preserve">Se espera que el formador repase cada uno de los elementos para que los delegados comprendan perfectamente el artículo 19 del Convenio de Budapest.</w:t>
            </w:r>
          </w:p>
        </w:tc>
      </w:tr>
      <w:tr w:rsidR="00F1574D" w:rsidRPr="00D82C18" w14:paraId="15587DD6" w14:textId="77777777" w:rsidTr="00F1574D">
        <w:trPr>
          <w:trHeight w:val="1916"/>
        </w:trPr>
        <w:tc>
          <w:tcPr>
            <w:tcW w:w="1525" w:type="dxa"/>
            <w:vAlign w:val="center"/>
          </w:tcPr>
          <w:p w14:paraId="5EBB803A" w14:textId="070DD26F" w:rsidR="00556D69" w:rsidRDefault="00150201" w:rsidP="00F1574D">
            <w:pPr>
              <w:spacing w:before="120" w:after="120" w:line="280" w:lineRule="exact"/>
              <w:jc w:val="center"/>
              <w:rPr>
                <w:sz w:val="18"/>
                <w:szCs w:val="18"/>
                <w:rFonts w:ascii="Verdana" w:hAnsi="Verdana"/>
              </w:rPr>
            </w:pPr>
            <w:r>
              <w:rPr>
                <w:sz w:val="18"/>
                <w:szCs w:val="18"/>
                <w:rFonts w:ascii="Verdana" w:hAnsi="Verdana"/>
              </w:rPr>
              <w:t xml:space="preserve">19 a 29</w:t>
            </w:r>
          </w:p>
          <w:p w14:paraId="65C32028" w14:textId="2E212042" w:rsidR="00F1574D" w:rsidRDefault="006B3820" w:rsidP="00F1574D">
            <w:pPr>
              <w:spacing w:before="120" w:after="120" w:line="280" w:lineRule="exact"/>
              <w:jc w:val="center"/>
              <w:rPr>
                <w:sz w:val="18"/>
                <w:szCs w:val="18"/>
                <w:rFonts w:ascii="Verdana" w:hAnsi="Verdana"/>
              </w:rPr>
            </w:pPr>
            <w:r>
              <w:rPr>
                <w:sz w:val="18"/>
                <w:szCs w:val="18"/>
                <w:rFonts w:ascii="Verdana" w:hAnsi="Verdana"/>
              </w:rPr>
              <w:t xml:space="preserve">Diapositivas obligatorias</w:t>
            </w:r>
          </w:p>
        </w:tc>
        <w:tc>
          <w:tcPr>
            <w:tcW w:w="7485" w:type="dxa"/>
            <w:gridSpan w:val="2"/>
            <w:vAlign w:val="center"/>
          </w:tcPr>
          <w:p w14:paraId="46AACDEB" w14:textId="135C749A" w:rsidR="00E66317" w:rsidRPr="00E66317" w:rsidRDefault="00E66317" w:rsidP="001737D1">
            <w:pPr>
              <w:pStyle w:val="Subtitle"/>
              <w:rPr>
                <w:szCs w:val="18"/>
                <w:rFonts w:ascii="Verdana" w:eastAsia="Times New Roman" w:hAnsi="Verdana"/>
              </w:rPr>
            </w:pPr>
            <w:r>
              <w:rPr>
                <w:szCs w:val="18"/>
                <w:rFonts w:ascii="Verdana" w:hAnsi="Verdana"/>
              </w:rPr>
              <w:t xml:space="preserve">En estas diapositivas se explican las disposiciones de derecho procesal relacionadas con la obtención en tiempo real de los datos relativos al tráfico en virtud del artículo 20 del Convenio de Budapest.</w:t>
            </w:r>
            <w:r>
              <w:rPr>
                <w:szCs w:val="18"/>
                <w:rFonts w:ascii="Verdana" w:hAnsi="Verdana"/>
              </w:rPr>
              <w:t xml:space="preserve"> </w:t>
            </w:r>
          </w:p>
          <w:p w14:paraId="21AA9A06" w14:textId="7E68E365" w:rsidR="00E66317" w:rsidRPr="00E66317" w:rsidRDefault="00E66317" w:rsidP="001737D1">
            <w:pPr>
              <w:pStyle w:val="Subtitle"/>
              <w:rPr>
                <w:szCs w:val="18"/>
                <w:rFonts w:ascii="Verdana" w:eastAsia="Times New Roman" w:hAnsi="Verdana"/>
              </w:rPr>
            </w:pPr>
            <w:r>
              <w:rPr>
                <w:szCs w:val="18"/>
                <w:rFonts w:ascii="Verdana" w:hAnsi="Verdana"/>
              </w:rPr>
              <w:t xml:space="preserve">En la primera diapositiva se ofrece un resumen del poder procesal al que se hace referencia en el artículo 20 del Convenio de Budapest.</w:t>
            </w:r>
            <w:r>
              <w:rPr>
                <w:szCs w:val="18"/>
                <w:rFonts w:ascii="Verdana" w:hAnsi="Verdana"/>
              </w:rPr>
              <w:t xml:space="preserve"> </w:t>
            </w:r>
          </w:p>
          <w:p w14:paraId="09B58FC0" w14:textId="5A30C9B8" w:rsidR="00C70C5C" w:rsidRPr="00C70C5C" w:rsidRDefault="00E66317" w:rsidP="001737D1">
            <w:pPr>
              <w:spacing w:line="360" w:lineRule="auto"/>
              <w:jc w:val="both"/>
            </w:pPr>
            <w:r>
              <w:rPr>
                <w:sz w:val="18"/>
                <w:szCs w:val="18"/>
                <w:rFonts w:ascii="Verdana" w:hAnsi="Verdana"/>
              </w:rPr>
              <w:t xml:space="preserve">La información que se muestra en el próximo conjunto de las diapositivas se dispone en dos columnas.</w:t>
            </w:r>
            <w:r>
              <w:rPr>
                <w:sz w:val="18"/>
                <w:szCs w:val="18"/>
                <w:rFonts w:ascii="Verdana" w:hAnsi="Verdana"/>
              </w:rPr>
              <w:t xml:space="preserve"> </w:t>
            </w:r>
            <w:r>
              <w:rPr>
                <w:sz w:val="18"/>
                <w:szCs w:val="18"/>
                <w:rFonts w:ascii="Verdana" w:hAnsi="Verdana"/>
              </w:rPr>
              <w:t xml:space="preserve">En la columna de la izquierda se reproduce el texto del artículo 20 del Convenio de Budapest con un elemento específico resaltado, mientras que en la columna de la derecha se ofrece una explicación de dicho elemento.</w:t>
            </w:r>
            <w:r>
              <w:rPr>
                <w:sz w:val="18"/>
                <w:szCs w:val="18"/>
                <w:rFonts w:ascii="Verdana" w:hAnsi="Verdana"/>
              </w:rPr>
              <w:t xml:space="preserve"> </w:t>
            </w:r>
            <w:r>
              <w:rPr>
                <w:sz w:val="18"/>
                <w:szCs w:val="18"/>
                <w:rFonts w:ascii="Verdana" w:hAnsi="Verdana"/>
              </w:rPr>
              <w:t xml:space="preserve">Se espera que el formador repase cada uno de los elementos para que los delegados comprendan perfectamente el artículo 20 del Convenio de Budapest.</w:t>
            </w:r>
          </w:p>
        </w:tc>
      </w:tr>
      <w:tr w:rsidR="00F1574D" w:rsidRPr="00D82C18" w14:paraId="4F010995" w14:textId="77777777" w:rsidTr="00F1574D">
        <w:trPr>
          <w:trHeight w:val="791"/>
        </w:trPr>
        <w:tc>
          <w:tcPr>
            <w:tcW w:w="1525" w:type="dxa"/>
            <w:vAlign w:val="center"/>
          </w:tcPr>
          <w:p w14:paraId="15E808BA" w14:textId="6D01DD51" w:rsidR="00556D69" w:rsidRDefault="00150201" w:rsidP="00F1574D">
            <w:pPr>
              <w:spacing w:before="120" w:after="120" w:line="280" w:lineRule="exact"/>
              <w:jc w:val="center"/>
              <w:rPr>
                <w:sz w:val="18"/>
                <w:szCs w:val="18"/>
                <w:rFonts w:ascii="Verdana" w:hAnsi="Verdana"/>
              </w:rPr>
            </w:pPr>
            <w:r>
              <w:rPr>
                <w:sz w:val="18"/>
                <w:szCs w:val="18"/>
                <w:rFonts w:ascii="Verdana" w:hAnsi="Verdana"/>
              </w:rPr>
              <w:t xml:space="preserve">30 a 42</w:t>
            </w:r>
          </w:p>
          <w:p w14:paraId="48504862" w14:textId="307D4B02" w:rsidR="00C70C5C" w:rsidRDefault="00C70C5C" w:rsidP="00F1574D">
            <w:pPr>
              <w:spacing w:before="120" w:after="120" w:line="280" w:lineRule="exact"/>
              <w:jc w:val="center"/>
              <w:rPr>
                <w:sz w:val="18"/>
                <w:szCs w:val="18"/>
                <w:rFonts w:ascii="Verdana" w:hAnsi="Verdana"/>
              </w:rPr>
            </w:pPr>
            <w:r>
              <w:rPr>
                <w:sz w:val="18"/>
                <w:szCs w:val="18"/>
                <w:rFonts w:ascii="Verdana" w:hAnsi="Verdana"/>
              </w:rPr>
              <w:t xml:space="preserve">Diapositivas obligatorias</w:t>
            </w:r>
          </w:p>
        </w:tc>
        <w:tc>
          <w:tcPr>
            <w:tcW w:w="7485" w:type="dxa"/>
            <w:gridSpan w:val="2"/>
            <w:vAlign w:val="center"/>
          </w:tcPr>
          <w:p w14:paraId="2E234509" w14:textId="5B3BAF8A" w:rsidR="001737D1" w:rsidRPr="001737D1" w:rsidRDefault="001737D1" w:rsidP="001737D1">
            <w:pPr>
              <w:pStyle w:val="Subtitle"/>
              <w:rPr>
                <w:szCs w:val="18"/>
                <w:rFonts w:ascii="Verdana" w:eastAsia="Times New Roman" w:hAnsi="Verdana"/>
              </w:rPr>
            </w:pPr>
            <w:r>
              <w:rPr>
                <w:szCs w:val="18"/>
                <w:rFonts w:ascii="Verdana" w:hAnsi="Verdana"/>
              </w:rPr>
              <w:t xml:space="preserve">En estas diapositivas se explican las disposiciones de derecho procesal relacionadas con la interceptación de los datos relativos al contenido en virtud del artículo 21 del Convenio de Budapest.</w:t>
            </w:r>
            <w:r>
              <w:rPr>
                <w:szCs w:val="18"/>
                <w:rFonts w:ascii="Verdana" w:hAnsi="Verdana"/>
              </w:rPr>
              <w:t xml:space="preserve"> </w:t>
            </w:r>
          </w:p>
          <w:p w14:paraId="1A1C3008" w14:textId="4D29001A" w:rsidR="001737D1" w:rsidRPr="001737D1" w:rsidRDefault="001737D1" w:rsidP="001737D1">
            <w:pPr>
              <w:pStyle w:val="Subtitle"/>
              <w:rPr>
                <w:szCs w:val="18"/>
                <w:rFonts w:ascii="Verdana" w:eastAsia="Times New Roman" w:hAnsi="Verdana"/>
              </w:rPr>
            </w:pPr>
            <w:r>
              <w:rPr>
                <w:szCs w:val="18"/>
                <w:rFonts w:ascii="Verdana" w:hAnsi="Verdana"/>
              </w:rPr>
              <w:t xml:space="preserve">La primera serie de diapositivas ofrece un resumen del poder procesal al que se hace referencia en el artículo 21 del Convenio de Budapest.</w:t>
            </w:r>
            <w:r>
              <w:rPr>
                <w:szCs w:val="18"/>
                <w:rFonts w:ascii="Verdana" w:hAnsi="Verdana"/>
              </w:rPr>
              <w:t xml:space="preserve"> </w:t>
            </w:r>
            <w:r>
              <w:rPr>
                <w:szCs w:val="18"/>
                <w:rFonts w:ascii="Verdana" w:hAnsi="Verdana"/>
              </w:rPr>
              <w:t xml:space="preserve">También se presenta un estudio de caso sobre la interceptación de datos relativos al contenido en relación con una red de chat con fines delictivos en la que participaban decenas de miles de delincuentes.</w:t>
            </w:r>
            <w:r>
              <w:rPr>
                <w:szCs w:val="18"/>
                <w:rFonts w:ascii="Verdana" w:hAnsi="Verdana"/>
              </w:rPr>
              <w:t xml:space="preserve"> </w:t>
            </w:r>
          </w:p>
          <w:p w14:paraId="4AF5B3D7" w14:textId="25CE2594" w:rsidR="00DD3B85" w:rsidRPr="00C70C5C" w:rsidRDefault="001737D1" w:rsidP="00150201">
            <w:pPr>
              <w:spacing w:line="360" w:lineRule="auto"/>
              <w:jc w:val="both"/>
              <w:rPr>
                <w:iCs/>
                <w:color w:val="000000" w:themeColor="text1"/>
                <w:sz w:val="18"/>
                <w:rFonts w:ascii="Verdana" w:eastAsia="Times New Roman" w:hAnsi="Verdana" w:cstheme="majorBidi"/>
              </w:rPr>
            </w:pPr>
            <w:r>
              <w:rPr>
                <w:sz w:val="18"/>
                <w:szCs w:val="18"/>
                <w:rFonts w:ascii="Verdana" w:hAnsi="Verdana"/>
              </w:rPr>
              <w:t xml:space="preserve">La información que se muestra en el próximo conjunto de las diapositivas se dispone en dos columnas.</w:t>
            </w:r>
            <w:r>
              <w:rPr>
                <w:sz w:val="18"/>
                <w:szCs w:val="18"/>
                <w:rFonts w:ascii="Verdana" w:hAnsi="Verdana"/>
              </w:rPr>
              <w:t xml:space="preserve"> </w:t>
            </w:r>
            <w:r>
              <w:rPr>
                <w:sz w:val="18"/>
                <w:szCs w:val="18"/>
                <w:rFonts w:ascii="Verdana" w:hAnsi="Verdana"/>
              </w:rPr>
              <w:t xml:space="preserve">En la columna de la izquierda se reproduce el texto del artículo 21 del Convenio de Budapest con un elemento específico resaltado, mientras que en la columna de la derecha se ofrece una explicación de dicho elemento.</w:t>
            </w:r>
            <w:r>
              <w:rPr>
                <w:sz w:val="18"/>
                <w:szCs w:val="18"/>
                <w:rFonts w:ascii="Verdana" w:hAnsi="Verdana"/>
              </w:rPr>
              <w:t xml:space="preserve"> </w:t>
            </w:r>
            <w:r>
              <w:rPr>
                <w:sz w:val="18"/>
                <w:szCs w:val="18"/>
                <w:rFonts w:ascii="Verdana" w:hAnsi="Verdana"/>
              </w:rPr>
              <w:t xml:space="preserve">Se espera que el formador repase cada uno de los elementos para que los delegados comprendan perfectamente el artículo 21 del Convenio de Budapest.</w:t>
            </w:r>
          </w:p>
        </w:tc>
      </w:tr>
      <w:tr w:rsidR="00CA481B" w:rsidRPr="00D82C18" w14:paraId="3ECBAC2B" w14:textId="77777777" w:rsidTr="00F1574D">
        <w:trPr>
          <w:trHeight w:val="791"/>
        </w:trPr>
        <w:tc>
          <w:tcPr>
            <w:tcW w:w="1525" w:type="dxa"/>
            <w:vAlign w:val="center"/>
          </w:tcPr>
          <w:p w14:paraId="46472C8E" w14:textId="3DE64783" w:rsidR="00CA481B" w:rsidRDefault="00150201" w:rsidP="00CA481B">
            <w:pPr>
              <w:spacing w:before="120" w:after="120" w:line="280" w:lineRule="exact"/>
              <w:jc w:val="center"/>
              <w:rPr>
                <w:sz w:val="18"/>
                <w:szCs w:val="18"/>
                <w:rFonts w:ascii="Verdana" w:hAnsi="Verdana"/>
              </w:rPr>
            </w:pPr>
            <w:r>
              <w:rPr>
                <w:sz w:val="18"/>
                <w:szCs w:val="18"/>
                <w:rFonts w:ascii="Verdana" w:hAnsi="Verdana"/>
              </w:rPr>
              <w:t xml:space="preserve">43 a 50</w:t>
            </w:r>
            <w:r>
              <w:rPr>
                <w:sz w:val="18"/>
                <w:szCs w:val="18"/>
                <w:rFonts w:ascii="Verdana" w:hAnsi="Verdana"/>
              </w:rPr>
              <w:t xml:space="preserve"> </w:t>
            </w:r>
          </w:p>
          <w:p w14:paraId="74E2783E" w14:textId="338530D5" w:rsidR="00CA481B" w:rsidRDefault="00CA481B" w:rsidP="00CA481B">
            <w:pPr>
              <w:spacing w:before="120" w:after="120" w:line="280" w:lineRule="exact"/>
              <w:jc w:val="center"/>
              <w:rPr>
                <w:sz w:val="18"/>
                <w:szCs w:val="18"/>
                <w:rFonts w:ascii="Verdana" w:hAnsi="Verdana"/>
              </w:rPr>
            </w:pPr>
            <w:r>
              <w:rPr>
                <w:sz w:val="18"/>
                <w:szCs w:val="18"/>
                <w:rFonts w:ascii="Verdana" w:hAnsi="Verdana"/>
              </w:rPr>
              <w:t xml:space="preserve">Diapositivas obligatorias</w:t>
            </w:r>
          </w:p>
        </w:tc>
        <w:tc>
          <w:tcPr>
            <w:tcW w:w="7485" w:type="dxa"/>
            <w:gridSpan w:val="2"/>
            <w:vAlign w:val="center"/>
          </w:tcPr>
          <w:p w14:paraId="7051C09D" w14:textId="440353EC" w:rsidR="00E27C71" w:rsidRPr="00E66317" w:rsidRDefault="00E27C71" w:rsidP="00E27C71">
            <w:pPr>
              <w:pStyle w:val="Subtitle"/>
              <w:rPr>
                <w:szCs w:val="18"/>
                <w:rFonts w:ascii="Verdana" w:eastAsia="Times New Roman" w:hAnsi="Verdana"/>
              </w:rPr>
            </w:pPr>
            <w:r>
              <w:rPr>
                <w:szCs w:val="18"/>
                <w:rFonts w:ascii="Verdana" w:hAnsi="Verdana"/>
              </w:rPr>
              <w:t xml:space="preserve">En estas diapositivas se explica el ámbito jurisdiccional del Convenio de Budapest, tal y como se recoge en su artículo 22.</w:t>
            </w:r>
            <w:r>
              <w:rPr>
                <w:szCs w:val="18"/>
                <w:rFonts w:ascii="Verdana" w:hAnsi="Verdana"/>
              </w:rPr>
              <w:t xml:space="preserve"> </w:t>
            </w:r>
          </w:p>
          <w:p w14:paraId="0B5729F2" w14:textId="4CF22B52" w:rsidR="00E27C71" w:rsidRPr="00E66317" w:rsidRDefault="00E27C71" w:rsidP="00E27C71">
            <w:pPr>
              <w:pStyle w:val="Subtitle"/>
              <w:rPr>
                <w:szCs w:val="18"/>
                <w:rFonts w:ascii="Verdana" w:eastAsia="Times New Roman" w:hAnsi="Verdana"/>
              </w:rPr>
            </w:pPr>
            <w:r>
              <w:rPr>
                <w:szCs w:val="18"/>
                <w:rFonts w:ascii="Verdana" w:hAnsi="Verdana"/>
              </w:rPr>
              <w:t xml:space="preserve">En la primera diapositiva se ofrece un resumen del ámbito jurisdiccional previsto en el artículo 22 del Convenio de Budapest.</w:t>
            </w:r>
            <w:r>
              <w:rPr>
                <w:szCs w:val="18"/>
                <w:rFonts w:ascii="Verdana" w:hAnsi="Verdana"/>
              </w:rPr>
              <w:t xml:space="preserve"> </w:t>
            </w:r>
          </w:p>
          <w:p w14:paraId="2F2BCFB2" w14:textId="28670B0C" w:rsidR="00CA481B" w:rsidRDefault="00E27C71" w:rsidP="00E27C71">
            <w:pPr>
              <w:pStyle w:val="Subtitle"/>
              <w:spacing w:line="360" w:lineRule="auto"/>
              <w:rPr>
                <w:rFonts w:ascii="Verdana" w:eastAsia="Times New Roman" w:hAnsi="Verdana"/>
              </w:rPr>
            </w:pPr>
            <w:r>
              <w:rPr>
                <w:szCs w:val="18"/>
                <w:rFonts w:ascii="Verdana" w:hAnsi="Verdana"/>
              </w:rPr>
              <w:t xml:space="preserve">La información que se muestra en el próximo conjunto de las diapositivas se dispone en dos columnas.</w:t>
            </w:r>
            <w:r>
              <w:rPr>
                <w:szCs w:val="18"/>
                <w:rFonts w:ascii="Verdana" w:hAnsi="Verdana"/>
              </w:rPr>
              <w:t xml:space="preserve"> </w:t>
            </w:r>
            <w:r>
              <w:rPr>
                <w:szCs w:val="18"/>
                <w:rFonts w:ascii="Verdana" w:hAnsi="Verdana"/>
              </w:rPr>
              <w:t xml:space="preserve">En la columna de la izquierda se reproduce el texto del artículo 22 del Convenio de Budapest con un elemento específico resaltado, mientras que en la columna de la derecha se ofrece una explicación de dicho elemento.</w:t>
            </w:r>
            <w:r>
              <w:rPr>
                <w:szCs w:val="18"/>
                <w:rFonts w:ascii="Verdana" w:hAnsi="Verdana"/>
              </w:rPr>
              <w:t xml:space="preserve"> </w:t>
            </w:r>
            <w:r>
              <w:rPr>
                <w:szCs w:val="18"/>
                <w:rFonts w:ascii="Verdana" w:hAnsi="Verdana"/>
              </w:rPr>
              <w:t xml:space="preserve">Se espera que el formador repase cada uno de los elementos para que los delegados comprendan perfectamente el artículo 22 del Convenio de Budapest.</w:t>
            </w:r>
          </w:p>
        </w:tc>
      </w:tr>
      <w:tr w:rsidR="00CA481B" w:rsidRPr="00D82C18" w14:paraId="35503B3F" w14:textId="77777777" w:rsidTr="00F1574D">
        <w:trPr>
          <w:trHeight w:val="1259"/>
        </w:trPr>
        <w:tc>
          <w:tcPr>
            <w:tcW w:w="1525" w:type="dxa"/>
            <w:vAlign w:val="center"/>
          </w:tcPr>
          <w:p w14:paraId="5A87A945" w14:textId="12239A1B" w:rsidR="00CA481B" w:rsidRDefault="00150201" w:rsidP="00CA481B">
            <w:pPr>
              <w:spacing w:before="120" w:after="120" w:line="280" w:lineRule="exact"/>
              <w:jc w:val="center"/>
              <w:rPr>
                <w:sz w:val="18"/>
                <w:szCs w:val="18"/>
                <w:rFonts w:ascii="Verdana" w:hAnsi="Verdana"/>
              </w:rPr>
            </w:pPr>
            <w:r>
              <w:rPr>
                <w:sz w:val="18"/>
                <w:szCs w:val="18"/>
                <w:rFonts w:ascii="Verdana" w:hAnsi="Verdana"/>
              </w:rPr>
              <w:t xml:space="preserve">51 a 52</w:t>
            </w:r>
          </w:p>
          <w:p w14:paraId="5DE9D224" w14:textId="2175AE8F" w:rsidR="00CA481B" w:rsidRPr="006527C6" w:rsidRDefault="00CA481B" w:rsidP="00CA481B">
            <w:pPr>
              <w:spacing w:before="120" w:after="120" w:line="280" w:lineRule="exact"/>
              <w:jc w:val="center"/>
              <w:rPr>
                <w:sz w:val="18"/>
                <w:szCs w:val="18"/>
                <w:rFonts w:ascii="Verdana" w:hAnsi="Verdana"/>
              </w:rPr>
            </w:pPr>
            <w:r>
              <w:rPr>
                <w:sz w:val="18"/>
                <w:szCs w:val="18"/>
                <w:rFonts w:ascii="Verdana" w:hAnsi="Verdana"/>
              </w:rPr>
              <w:t xml:space="preserve">Diapositivas importantes</w:t>
            </w:r>
          </w:p>
        </w:tc>
        <w:tc>
          <w:tcPr>
            <w:tcW w:w="7485" w:type="dxa"/>
            <w:gridSpan w:val="2"/>
            <w:vAlign w:val="center"/>
          </w:tcPr>
          <w:p w14:paraId="6E2FA816" w14:textId="6DB8BFB8" w:rsidR="00CA481B" w:rsidRPr="00314D32" w:rsidRDefault="00221092" w:rsidP="00CA481B">
            <w:pPr>
              <w:pStyle w:val="Subtitle"/>
              <w:spacing w:line="360" w:lineRule="auto"/>
            </w:pPr>
            <w:r>
              <w:rPr>
                <w:szCs w:val="18"/>
                <w:rFonts w:ascii="Verdana" w:hAnsi="Verdana"/>
              </w:rPr>
              <w:t xml:space="preserve">El formador deberá volver a recordar los objetivos de la sesión con los delegados y darles la oportunidad de formular cualquier pregunta relacionada con los materiales tratados en este módulo.</w:t>
            </w:r>
          </w:p>
        </w:tc>
      </w:tr>
      <w:tr w:rsidR="00CA481B" w:rsidRPr="00D82C18" w14:paraId="2ECF09B7" w14:textId="77777777" w:rsidTr="00F1574D">
        <w:trPr>
          <w:trHeight w:val="890"/>
        </w:trPr>
        <w:tc>
          <w:tcPr>
            <w:tcW w:w="9010" w:type="dxa"/>
            <w:gridSpan w:val="3"/>
            <w:vAlign w:val="center"/>
          </w:tcPr>
          <w:p w14:paraId="55ED1F4B" w14:textId="77777777" w:rsidR="00CA481B" w:rsidRDefault="00CA481B" w:rsidP="00CA481B">
            <w:pPr>
              <w:spacing w:before="120" w:after="120" w:line="280" w:lineRule="exact"/>
              <w:rPr>
                <w:b/>
                <w:sz w:val="22"/>
                <w:szCs w:val="22"/>
                <w:rFonts w:ascii="Verdana" w:hAnsi="Verdana"/>
              </w:rPr>
            </w:pPr>
            <w:r>
              <w:rPr>
                <w:b/>
                <w:sz w:val="22"/>
                <w:szCs w:val="22"/>
                <w:rFonts w:ascii="Verdana" w:hAnsi="Verdana"/>
              </w:rPr>
              <w:t xml:space="preserve">Ejercicios prácticos</w:t>
            </w:r>
          </w:p>
          <w:p w14:paraId="04D65D89" w14:textId="53DBD58E" w:rsidR="00CA481B" w:rsidRPr="00CB3026" w:rsidRDefault="00CA481B" w:rsidP="00CA481B">
            <w:pPr>
              <w:spacing w:before="120" w:after="120" w:line="280" w:lineRule="exact"/>
              <w:rPr>
                <w:sz w:val="18"/>
                <w:szCs w:val="18"/>
                <w:rFonts w:ascii="Verdana" w:hAnsi="Verdana"/>
              </w:rPr>
            </w:pPr>
            <w:r>
              <w:rPr>
                <w:color w:val="000000" w:themeColor="text1"/>
                <w:sz w:val="18"/>
                <w:szCs w:val="18"/>
                <w:rFonts w:ascii="Verdana" w:hAnsi="Verdana"/>
              </w:rPr>
              <w:t xml:space="preserve">Esta lección no incluye ejercicios prácticos.</w:t>
            </w:r>
          </w:p>
        </w:tc>
      </w:tr>
      <w:tr w:rsidR="00CA481B" w:rsidRPr="00D82C18" w14:paraId="603967A2" w14:textId="77777777" w:rsidTr="00F1574D">
        <w:tc>
          <w:tcPr>
            <w:tcW w:w="9010" w:type="dxa"/>
            <w:gridSpan w:val="3"/>
            <w:vAlign w:val="center"/>
          </w:tcPr>
          <w:p w14:paraId="57B48D1E" w14:textId="77777777" w:rsidR="00CA481B" w:rsidRDefault="00CA481B" w:rsidP="00CA481B">
            <w:pPr>
              <w:spacing w:before="120" w:after="120" w:line="280" w:lineRule="exact"/>
              <w:rPr>
                <w:b/>
                <w:sz w:val="22"/>
                <w:szCs w:val="22"/>
                <w:rFonts w:ascii="Verdana" w:hAnsi="Verdana"/>
              </w:rPr>
            </w:pPr>
            <w:r>
              <w:rPr>
                <w:b/>
                <w:sz w:val="22"/>
                <w:szCs w:val="22"/>
                <w:rFonts w:ascii="Verdana" w:hAnsi="Verdana"/>
              </w:rPr>
              <w:t xml:space="preserve">Evaluación/comprobación de conocimientos</w:t>
            </w:r>
          </w:p>
          <w:p w14:paraId="4496975B" w14:textId="1B3740FD" w:rsidR="00CA481B" w:rsidRPr="00CB3026" w:rsidRDefault="00CA481B" w:rsidP="00CA481B">
            <w:pPr>
              <w:spacing w:before="120" w:after="120" w:line="280" w:lineRule="exact"/>
              <w:rPr>
                <w:sz w:val="18"/>
                <w:szCs w:val="18"/>
                <w:rFonts w:ascii="Verdana" w:hAnsi="Verdana"/>
              </w:rPr>
            </w:pPr>
            <w:r>
              <w:rPr>
                <w:color w:val="000000" w:themeColor="text1"/>
                <w:sz w:val="18"/>
                <w:szCs w:val="18"/>
                <w:rFonts w:ascii="Verdana" w:hAnsi="Verdana"/>
              </w:rPr>
              <w:t xml:space="preserve">No se ha solicitado que se comprueben o evalúen los conocimientos impartidos en esta sesión.</w:t>
            </w:r>
          </w:p>
        </w:tc>
      </w:tr>
    </w:tbl>
    <w:p w14:paraId="15498912" w14:textId="77777777" w:rsidR="00D82C18" w:rsidRPr="00D82C18" w:rsidRDefault="00D82C18">
      <w:pPr>
        <w:rPr>
          <w:rFonts w:ascii="Verdana" w:hAnsi="Verdana"/>
        </w:rPr>
      </w:pPr>
    </w:p>
    <w:sectPr w:rsidR="00D82C18" w:rsidRPr="00D82C18" w:rsidSect="00F1574D">
      <w:pgSz w:w="11900" w:h="16840"/>
      <w:pgMar w:top="783" w:right="1440" w:bottom="119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Bold">
    <w:altName w:val="Times New Roman"/>
    <w:panose1 w:val="020B0804030504040204"/>
    <w:charset w:val="00"/>
    <w:family w:val="auto"/>
    <w:pitch w:val="variable"/>
    <w:sig w:usb0="00000001"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686C5820"/>
    <w:lvl w:ilvl="0">
      <w:numFmt w:val="decimal"/>
      <w:pStyle w:val="listbullet"/>
      <w:lvlText w:val="*"/>
      <w:lvlJc w:val="left"/>
      <w:rPr>
        <w:rFonts w:cs="Times New Roman"/>
      </w:rPr>
    </w:lvl>
  </w:abstractNum>
  <w:abstractNum w:abstractNumId="1" w15:restartNumberingAfterBreak="0">
    <w:nsid w:val="045266B2"/>
    <w:multiLevelType w:val="hybridMultilevel"/>
    <w:tmpl w:val="F43057EC"/>
    <w:lvl w:ilvl="0" w:tplc="77BA8D6C">
      <w:start w:val="1"/>
      <w:numFmt w:val="bullet"/>
      <w:lvlText w:val="•"/>
      <w:lvlJc w:val="left"/>
      <w:pPr>
        <w:tabs>
          <w:tab w:val="num" w:pos="720"/>
        </w:tabs>
        <w:ind w:left="720" w:hanging="360"/>
      </w:pPr>
      <w:rPr>
        <w:rFonts w:ascii="Arial" w:hAnsi="Arial" w:hint="default"/>
      </w:rPr>
    </w:lvl>
    <w:lvl w:ilvl="1" w:tplc="D4CAFFD8" w:tentative="1">
      <w:start w:val="1"/>
      <w:numFmt w:val="bullet"/>
      <w:lvlText w:val="•"/>
      <w:lvlJc w:val="left"/>
      <w:pPr>
        <w:tabs>
          <w:tab w:val="num" w:pos="1440"/>
        </w:tabs>
        <w:ind w:left="1440" w:hanging="360"/>
      </w:pPr>
      <w:rPr>
        <w:rFonts w:ascii="Arial" w:hAnsi="Arial" w:hint="default"/>
      </w:rPr>
    </w:lvl>
    <w:lvl w:ilvl="2" w:tplc="9A60BDC4" w:tentative="1">
      <w:start w:val="1"/>
      <w:numFmt w:val="bullet"/>
      <w:lvlText w:val="•"/>
      <w:lvlJc w:val="left"/>
      <w:pPr>
        <w:tabs>
          <w:tab w:val="num" w:pos="2160"/>
        </w:tabs>
        <w:ind w:left="2160" w:hanging="360"/>
      </w:pPr>
      <w:rPr>
        <w:rFonts w:ascii="Arial" w:hAnsi="Arial" w:hint="default"/>
      </w:rPr>
    </w:lvl>
    <w:lvl w:ilvl="3" w:tplc="A2A2899C" w:tentative="1">
      <w:start w:val="1"/>
      <w:numFmt w:val="bullet"/>
      <w:lvlText w:val="•"/>
      <w:lvlJc w:val="left"/>
      <w:pPr>
        <w:tabs>
          <w:tab w:val="num" w:pos="2880"/>
        </w:tabs>
        <w:ind w:left="2880" w:hanging="360"/>
      </w:pPr>
      <w:rPr>
        <w:rFonts w:ascii="Arial" w:hAnsi="Arial" w:hint="default"/>
      </w:rPr>
    </w:lvl>
    <w:lvl w:ilvl="4" w:tplc="9E3C0E0E" w:tentative="1">
      <w:start w:val="1"/>
      <w:numFmt w:val="bullet"/>
      <w:lvlText w:val="•"/>
      <w:lvlJc w:val="left"/>
      <w:pPr>
        <w:tabs>
          <w:tab w:val="num" w:pos="3600"/>
        </w:tabs>
        <w:ind w:left="3600" w:hanging="360"/>
      </w:pPr>
      <w:rPr>
        <w:rFonts w:ascii="Arial" w:hAnsi="Arial" w:hint="default"/>
      </w:rPr>
    </w:lvl>
    <w:lvl w:ilvl="5" w:tplc="7EB463FE" w:tentative="1">
      <w:start w:val="1"/>
      <w:numFmt w:val="bullet"/>
      <w:lvlText w:val="•"/>
      <w:lvlJc w:val="left"/>
      <w:pPr>
        <w:tabs>
          <w:tab w:val="num" w:pos="4320"/>
        </w:tabs>
        <w:ind w:left="4320" w:hanging="360"/>
      </w:pPr>
      <w:rPr>
        <w:rFonts w:ascii="Arial" w:hAnsi="Arial" w:hint="default"/>
      </w:rPr>
    </w:lvl>
    <w:lvl w:ilvl="6" w:tplc="95B26F08" w:tentative="1">
      <w:start w:val="1"/>
      <w:numFmt w:val="bullet"/>
      <w:lvlText w:val="•"/>
      <w:lvlJc w:val="left"/>
      <w:pPr>
        <w:tabs>
          <w:tab w:val="num" w:pos="5040"/>
        </w:tabs>
        <w:ind w:left="5040" w:hanging="360"/>
      </w:pPr>
      <w:rPr>
        <w:rFonts w:ascii="Arial" w:hAnsi="Arial" w:hint="default"/>
      </w:rPr>
    </w:lvl>
    <w:lvl w:ilvl="7" w:tplc="F188970C" w:tentative="1">
      <w:start w:val="1"/>
      <w:numFmt w:val="bullet"/>
      <w:lvlText w:val="•"/>
      <w:lvlJc w:val="left"/>
      <w:pPr>
        <w:tabs>
          <w:tab w:val="num" w:pos="5760"/>
        </w:tabs>
        <w:ind w:left="5760" w:hanging="360"/>
      </w:pPr>
      <w:rPr>
        <w:rFonts w:ascii="Arial" w:hAnsi="Arial" w:hint="default"/>
      </w:rPr>
    </w:lvl>
    <w:lvl w:ilvl="8" w:tplc="1FFED9D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B3724DC"/>
    <w:multiLevelType w:val="hybridMultilevel"/>
    <w:tmpl w:val="642C6C28"/>
    <w:lvl w:ilvl="0" w:tplc="1E307DD2">
      <w:start w:val="1"/>
      <w:numFmt w:val="bullet"/>
      <w:pStyle w:val="bul1"/>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D1461F"/>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4" w15:restartNumberingAfterBreak="0">
    <w:nsid w:val="4092556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2AE54E4"/>
    <w:multiLevelType w:val="hybridMultilevel"/>
    <w:tmpl w:val="D2C2D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BB2C9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848348D"/>
    <w:multiLevelType w:val="hybridMultilevel"/>
    <w:tmpl w:val="A1FA8F48"/>
    <w:lvl w:ilvl="0" w:tplc="289649DA">
      <w:start w:val="1"/>
      <w:numFmt w:val="bullet"/>
      <w:lvlText w:val="•"/>
      <w:lvlJc w:val="left"/>
      <w:pPr>
        <w:tabs>
          <w:tab w:val="num" w:pos="720"/>
        </w:tabs>
        <w:ind w:left="720" w:hanging="360"/>
      </w:pPr>
      <w:rPr>
        <w:rFonts w:ascii="Arial" w:hAnsi="Arial" w:hint="default"/>
      </w:rPr>
    </w:lvl>
    <w:lvl w:ilvl="1" w:tplc="92D47924">
      <w:numFmt w:val="none"/>
      <w:lvlText w:val=""/>
      <w:lvlJc w:val="left"/>
      <w:pPr>
        <w:tabs>
          <w:tab w:val="num" w:pos="360"/>
        </w:tabs>
      </w:pPr>
    </w:lvl>
    <w:lvl w:ilvl="2" w:tplc="BCA2276A" w:tentative="1">
      <w:start w:val="1"/>
      <w:numFmt w:val="bullet"/>
      <w:lvlText w:val="•"/>
      <w:lvlJc w:val="left"/>
      <w:pPr>
        <w:tabs>
          <w:tab w:val="num" w:pos="2160"/>
        </w:tabs>
        <w:ind w:left="2160" w:hanging="360"/>
      </w:pPr>
      <w:rPr>
        <w:rFonts w:ascii="Arial" w:hAnsi="Arial" w:hint="default"/>
      </w:rPr>
    </w:lvl>
    <w:lvl w:ilvl="3" w:tplc="960A76CA" w:tentative="1">
      <w:start w:val="1"/>
      <w:numFmt w:val="bullet"/>
      <w:lvlText w:val="•"/>
      <w:lvlJc w:val="left"/>
      <w:pPr>
        <w:tabs>
          <w:tab w:val="num" w:pos="2880"/>
        </w:tabs>
        <w:ind w:left="2880" w:hanging="360"/>
      </w:pPr>
      <w:rPr>
        <w:rFonts w:ascii="Arial" w:hAnsi="Arial" w:hint="default"/>
      </w:rPr>
    </w:lvl>
    <w:lvl w:ilvl="4" w:tplc="C32E3644" w:tentative="1">
      <w:start w:val="1"/>
      <w:numFmt w:val="bullet"/>
      <w:lvlText w:val="•"/>
      <w:lvlJc w:val="left"/>
      <w:pPr>
        <w:tabs>
          <w:tab w:val="num" w:pos="3600"/>
        </w:tabs>
        <w:ind w:left="3600" w:hanging="360"/>
      </w:pPr>
      <w:rPr>
        <w:rFonts w:ascii="Arial" w:hAnsi="Arial" w:hint="default"/>
      </w:rPr>
    </w:lvl>
    <w:lvl w:ilvl="5" w:tplc="57D4F21C" w:tentative="1">
      <w:start w:val="1"/>
      <w:numFmt w:val="bullet"/>
      <w:lvlText w:val="•"/>
      <w:lvlJc w:val="left"/>
      <w:pPr>
        <w:tabs>
          <w:tab w:val="num" w:pos="4320"/>
        </w:tabs>
        <w:ind w:left="4320" w:hanging="360"/>
      </w:pPr>
      <w:rPr>
        <w:rFonts w:ascii="Arial" w:hAnsi="Arial" w:hint="default"/>
      </w:rPr>
    </w:lvl>
    <w:lvl w:ilvl="6" w:tplc="A9D033E2" w:tentative="1">
      <w:start w:val="1"/>
      <w:numFmt w:val="bullet"/>
      <w:lvlText w:val="•"/>
      <w:lvlJc w:val="left"/>
      <w:pPr>
        <w:tabs>
          <w:tab w:val="num" w:pos="5040"/>
        </w:tabs>
        <w:ind w:left="5040" w:hanging="360"/>
      </w:pPr>
      <w:rPr>
        <w:rFonts w:ascii="Arial" w:hAnsi="Arial" w:hint="default"/>
      </w:rPr>
    </w:lvl>
    <w:lvl w:ilvl="7" w:tplc="DE9A7116" w:tentative="1">
      <w:start w:val="1"/>
      <w:numFmt w:val="bullet"/>
      <w:lvlText w:val="•"/>
      <w:lvlJc w:val="left"/>
      <w:pPr>
        <w:tabs>
          <w:tab w:val="num" w:pos="5760"/>
        </w:tabs>
        <w:ind w:left="5760" w:hanging="360"/>
      </w:pPr>
      <w:rPr>
        <w:rFonts w:ascii="Arial" w:hAnsi="Arial" w:hint="default"/>
      </w:rPr>
    </w:lvl>
    <w:lvl w:ilvl="8" w:tplc="E91C5FA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E2058DF"/>
    <w:multiLevelType w:val="hybridMultilevel"/>
    <w:tmpl w:val="FE9681DE"/>
    <w:lvl w:ilvl="0" w:tplc="0A8AC048">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9" w15:restartNumberingAfterBreak="0">
    <w:nsid w:val="582840D9"/>
    <w:multiLevelType w:val="hybridMultilevel"/>
    <w:tmpl w:val="FE127F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8E26929"/>
    <w:multiLevelType w:val="hybridMultilevel"/>
    <w:tmpl w:val="EF72A95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6AD53E50"/>
    <w:multiLevelType w:val="multilevel"/>
    <w:tmpl w:val="99E2FBE6"/>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ascii="Verdana" w:hAnsi="Verdana"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7CCA1946"/>
    <w:multiLevelType w:val="hybridMultilevel"/>
    <w:tmpl w:val="7A50B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6"/>
  </w:num>
  <w:num w:numId="4">
    <w:abstractNumId w:val="4"/>
  </w:num>
  <w:num w:numId="5">
    <w:abstractNumId w:val="5"/>
  </w:num>
  <w:num w:numId="6">
    <w:abstractNumId w:val="12"/>
  </w:num>
  <w:num w:numId="7">
    <w:abstractNumId w:val="2"/>
  </w:num>
  <w:num w:numId="8">
    <w:abstractNumId w:val="0"/>
    <w:lvlOverride w:ilvl="0">
      <w:lvl w:ilvl="0">
        <w:start w:val="1"/>
        <w:numFmt w:val="bullet"/>
        <w:pStyle w:val="listbullet"/>
        <w:lvlText w:val=""/>
        <w:lvlJc w:val="left"/>
        <w:pPr>
          <w:tabs>
            <w:tab w:val="num" w:pos="567"/>
          </w:tabs>
          <w:ind w:left="567" w:hanging="567"/>
        </w:pPr>
        <w:rPr>
          <w:rFonts w:ascii="Wingdings" w:hAnsi="Wingdings" w:hint="default"/>
        </w:rPr>
      </w:lvl>
    </w:lvlOverride>
  </w:num>
  <w:num w:numId="9">
    <w:abstractNumId w:val="11"/>
  </w:num>
  <w:num w:numId="10">
    <w:abstractNumId w:val="1"/>
  </w:num>
  <w:num w:numId="11">
    <w:abstractNumId w:val="10"/>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3"/>
  <w:proofState w:spelling="dirty" w:grammar="dirty"/>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C18"/>
    <w:rsid w:val="00004EF1"/>
    <w:rsid w:val="000160F1"/>
    <w:rsid w:val="00051376"/>
    <w:rsid w:val="00070C94"/>
    <w:rsid w:val="000C40EE"/>
    <w:rsid w:val="000D0409"/>
    <w:rsid w:val="000F04E4"/>
    <w:rsid w:val="000F7896"/>
    <w:rsid w:val="00150201"/>
    <w:rsid w:val="001737D1"/>
    <w:rsid w:val="001D2D02"/>
    <w:rsid w:val="001D603D"/>
    <w:rsid w:val="001E7389"/>
    <w:rsid w:val="00207B05"/>
    <w:rsid w:val="00221092"/>
    <w:rsid w:val="00271010"/>
    <w:rsid w:val="002E27B4"/>
    <w:rsid w:val="002E3ECE"/>
    <w:rsid w:val="002F3B54"/>
    <w:rsid w:val="00314D32"/>
    <w:rsid w:val="0034224C"/>
    <w:rsid w:val="00342639"/>
    <w:rsid w:val="003453F7"/>
    <w:rsid w:val="003630ED"/>
    <w:rsid w:val="00372572"/>
    <w:rsid w:val="003A435F"/>
    <w:rsid w:val="003F6587"/>
    <w:rsid w:val="00437AF3"/>
    <w:rsid w:val="00450007"/>
    <w:rsid w:val="00457DD3"/>
    <w:rsid w:val="00491C99"/>
    <w:rsid w:val="004B5101"/>
    <w:rsid w:val="004B7351"/>
    <w:rsid w:val="00514FE0"/>
    <w:rsid w:val="00556D69"/>
    <w:rsid w:val="005703B7"/>
    <w:rsid w:val="00573D00"/>
    <w:rsid w:val="005A4E47"/>
    <w:rsid w:val="005D4432"/>
    <w:rsid w:val="006527C6"/>
    <w:rsid w:val="00671ADF"/>
    <w:rsid w:val="006B0B52"/>
    <w:rsid w:val="006B3820"/>
    <w:rsid w:val="0075334E"/>
    <w:rsid w:val="007678A6"/>
    <w:rsid w:val="00775CE6"/>
    <w:rsid w:val="007E3B3E"/>
    <w:rsid w:val="00844FBF"/>
    <w:rsid w:val="008817F1"/>
    <w:rsid w:val="008A4C93"/>
    <w:rsid w:val="008C3900"/>
    <w:rsid w:val="008E3FE7"/>
    <w:rsid w:val="00906F18"/>
    <w:rsid w:val="00951791"/>
    <w:rsid w:val="00956062"/>
    <w:rsid w:val="0099769B"/>
    <w:rsid w:val="009B4375"/>
    <w:rsid w:val="009D1DB1"/>
    <w:rsid w:val="009E1390"/>
    <w:rsid w:val="009E3827"/>
    <w:rsid w:val="009F336B"/>
    <w:rsid w:val="00A03CF0"/>
    <w:rsid w:val="00A31A58"/>
    <w:rsid w:val="00A342ED"/>
    <w:rsid w:val="00A4110D"/>
    <w:rsid w:val="00A439ED"/>
    <w:rsid w:val="00A55067"/>
    <w:rsid w:val="00A734A5"/>
    <w:rsid w:val="00A76996"/>
    <w:rsid w:val="00A94D8B"/>
    <w:rsid w:val="00AA5742"/>
    <w:rsid w:val="00AC1380"/>
    <w:rsid w:val="00AC45A8"/>
    <w:rsid w:val="00B3608C"/>
    <w:rsid w:val="00B807DF"/>
    <w:rsid w:val="00BA7368"/>
    <w:rsid w:val="00C115FC"/>
    <w:rsid w:val="00C541A2"/>
    <w:rsid w:val="00C70C5C"/>
    <w:rsid w:val="00C83397"/>
    <w:rsid w:val="00CA481B"/>
    <w:rsid w:val="00CB02C4"/>
    <w:rsid w:val="00CB3026"/>
    <w:rsid w:val="00CC1F79"/>
    <w:rsid w:val="00D82C18"/>
    <w:rsid w:val="00DD3B85"/>
    <w:rsid w:val="00E13BE7"/>
    <w:rsid w:val="00E27C71"/>
    <w:rsid w:val="00E66317"/>
    <w:rsid w:val="00E7344B"/>
    <w:rsid w:val="00E95703"/>
    <w:rsid w:val="00F1574D"/>
    <w:rsid w:val="00F504D6"/>
    <w:rsid w:val="00F62A15"/>
    <w:rsid w:val="00F955B5"/>
    <w:rsid w:val="00FA5D5D"/>
    <w:rsid w:val="00FB24E8"/>
    <w:rsid w:val="00FB6DE5"/>
    <w:rsid w:val="00FC23CB"/>
    <w:rsid w:val="00FC3D65"/>
    <w:rsid w:val="00FE45CA"/>
    <w:rsid w:val="00FF29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7CF78"/>
  <w14:defaultImageDpi w14:val="32767"/>
  <w15:docId w15:val="{F20326E9-F316-4B3A-9582-EFEC2E12E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autoRedefine/>
    <w:uiPriority w:val="9"/>
    <w:qFormat/>
    <w:rsid w:val="003453F7"/>
    <w:pPr>
      <w:keepNext/>
      <w:keepLines/>
      <w:numPr>
        <w:numId w:val="9"/>
      </w:numPr>
      <w:spacing w:before="120" w:after="240" w:line="260" w:lineRule="atLeast"/>
      <w:ind w:right="-79"/>
      <w:jc w:val="both"/>
      <w:outlineLvl w:val="0"/>
    </w:pPr>
    <w:rPr>
      <w:rFonts w:ascii="Verdana" w:eastAsiaTheme="majorEastAsia" w:hAnsi="Verdana" w:cstheme="majorBidi"/>
      <w:b/>
      <w:bCs/>
      <w:sz w:val="28"/>
      <w:szCs w:val="28"/>
    </w:rPr>
  </w:style>
  <w:style w:type="paragraph" w:styleId="Heading2">
    <w:name w:val="heading 2"/>
    <w:basedOn w:val="Normal"/>
    <w:next w:val="Normal"/>
    <w:link w:val="Heading2Char"/>
    <w:uiPriority w:val="9"/>
    <w:unhideWhenUsed/>
    <w:qFormat/>
    <w:rsid w:val="003453F7"/>
    <w:pPr>
      <w:keepNext/>
      <w:keepLines/>
      <w:numPr>
        <w:ilvl w:val="1"/>
        <w:numId w:val="9"/>
      </w:numPr>
      <w:spacing w:before="120" w:after="240" w:line="280" w:lineRule="atLeast"/>
      <w:ind w:right="-79"/>
      <w:jc w:val="both"/>
      <w:outlineLvl w:val="1"/>
    </w:pPr>
    <w:rPr>
      <w:rFonts w:ascii="Verdana" w:eastAsiaTheme="majorEastAsia" w:hAnsi="Verdana" w:cstheme="majorBidi"/>
      <w:b/>
      <w:bCs/>
      <w:sz w:val="20"/>
      <w:szCs w:val="26"/>
    </w:rPr>
  </w:style>
  <w:style w:type="paragraph" w:styleId="Heading3">
    <w:name w:val="heading 3"/>
    <w:basedOn w:val="Normal"/>
    <w:next w:val="Normal"/>
    <w:link w:val="Heading3Char"/>
    <w:uiPriority w:val="9"/>
    <w:unhideWhenUsed/>
    <w:qFormat/>
    <w:rsid w:val="003453F7"/>
    <w:pPr>
      <w:keepNext/>
      <w:keepLines/>
      <w:numPr>
        <w:ilvl w:val="2"/>
        <w:numId w:val="9"/>
      </w:numPr>
      <w:spacing w:before="120" w:after="240" w:line="280" w:lineRule="atLeast"/>
      <w:ind w:left="851" w:right="-79" w:hanging="851"/>
      <w:jc w:val="both"/>
      <w:outlineLvl w:val="2"/>
    </w:pPr>
    <w:rPr>
      <w:rFonts w:ascii="Verdana" w:eastAsiaTheme="majorEastAsia" w:hAnsi="Verdana" w:cstheme="majorBidi"/>
      <w:b/>
      <w:bCs/>
      <w:sz w:val="18"/>
      <w:szCs w:val="22"/>
    </w:rPr>
  </w:style>
  <w:style w:type="paragraph" w:styleId="Heading4">
    <w:name w:val="heading 4"/>
    <w:basedOn w:val="Normal"/>
    <w:next w:val="Normal"/>
    <w:link w:val="Heading4Char"/>
    <w:uiPriority w:val="9"/>
    <w:unhideWhenUsed/>
    <w:qFormat/>
    <w:rsid w:val="003453F7"/>
    <w:pPr>
      <w:keepNext/>
      <w:keepLines/>
      <w:numPr>
        <w:ilvl w:val="3"/>
        <w:numId w:val="9"/>
      </w:numPr>
      <w:spacing w:before="120" w:after="120" w:line="280" w:lineRule="atLeast"/>
      <w:ind w:right="-79"/>
      <w:jc w:val="both"/>
      <w:outlineLvl w:val="3"/>
    </w:pPr>
    <w:rPr>
      <w:rFonts w:ascii="Verdana" w:eastAsiaTheme="majorEastAsia" w:hAnsi="Verdana" w:cstheme="majorBidi"/>
      <w:b/>
      <w:bCs/>
      <w:iCs/>
      <w:sz w:val="18"/>
      <w:szCs w:val="22"/>
    </w:rPr>
  </w:style>
  <w:style w:type="paragraph" w:styleId="Heading5">
    <w:name w:val="heading 5"/>
    <w:basedOn w:val="Normal"/>
    <w:next w:val="Normal"/>
    <w:link w:val="Heading5Char"/>
    <w:uiPriority w:val="9"/>
    <w:unhideWhenUsed/>
    <w:qFormat/>
    <w:rsid w:val="003453F7"/>
    <w:pPr>
      <w:keepNext/>
      <w:keepLines/>
      <w:numPr>
        <w:ilvl w:val="4"/>
        <w:numId w:val="9"/>
      </w:numPr>
      <w:spacing w:before="200" w:line="280" w:lineRule="atLeast"/>
      <w:jc w:val="both"/>
      <w:outlineLvl w:val="4"/>
    </w:pPr>
    <w:rPr>
      <w:rFonts w:asciiTheme="majorHAnsi" w:eastAsiaTheme="majorEastAsia" w:hAnsiTheme="majorHAnsi" w:cstheme="majorBidi"/>
      <w:color w:val="1F3763" w:themeColor="accent1" w:themeShade="7F"/>
      <w:sz w:val="22"/>
      <w:szCs w:val="22"/>
    </w:rPr>
  </w:style>
  <w:style w:type="paragraph" w:styleId="Heading6">
    <w:name w:val="heading 6"/>
    <w:basedOn w:val="Normal"/>
    <w:next w:val="Normal"/>
    <w:link w:val="Heading6Char"/>
    <w:uiPriority w:val="9"/>
    <w:unhideWhenUsed/>
    <w:qFormat/>
    <w:rsid w:val="003453F7"/>
    <w:pPr>
      <w:keepNext/>
      <w:keepLines/>
      <w:numPr>
        <w:ilvl w:val="5"/>
        <w:numId w:val="9"/>
      </w:numPr>
      <w:spacing w:before="200" w:line="280" w:lineRule="atLeast"/>
      <w:jc w:val="both"/>
      <w:outlineLvl w:val="5"/>
    </w:pPr>
    <w:rPr>
      <w:rFonts w:asciiTheme="majorHAnsi" w:eastAsiaTheme="majorEastAsia" w:hAnsiTheme="majorHAnsi" w:cstheme="majorBidi"/>
      <w:i/>
      <w:iCs/>
      <w:color w:val="1F3763" w:themeColor="accent1" w:themeShade="7F"/>
      <w:sz w:val="22"/>
      <w:szCs w:val="22"/>
    </w:rPr>
  </w:style>
  <w:style w:type="paragraph" w:styleId="Heading7">
    <w:name w:val="heading 7"/>
    <w:basedOn w:val="Normal"/>
    <w:next w:val="Normal"/>
    <w:link w:val="Heading7Char"/>
    <w:uiPriority w:val="9"/>
    <w:unhideWhenUsed/>
    <w:qFormat/>
    <w:rsid w:val="003453F7"/>
    <w:pPr>
      <w:keepNext/>
      <w:keepLines/>
      <w:numPr>
        <w:ilvl w:val="6"/>
        <w:numId w:val="9"/>
      </w:numPr>
      <w:spacing w:before="200" w:line="280" w:lineRule="atLeast"/>
      <w:jc w:val="both"/>
      <w:outlineLvl w:val="6"/>
    </w:pPr>
    <w:rPr>
      <w:rFonts w:asciiTheme="majorHAnsi" w:eastAsiaTheme="majorEastAsia" w:hAnsiTheme="majorHAnsi" w:cstheme="majorBidi"/>
      <w:i/>
      <w:iCs/>
      <w:color w:val="404040" w:themeColor="text1" w:themeTint="BF"/>
      <w:sz w:val="22"/>
      <w:szCs w:val="22"/>
    </w:rPr>
  </w:style>
  <w:style w:type="paragraph" w:styleId="Heading8">
    <w:name w:val="heading 8"/>
    <w:basedOn w:val="Normal"/>
    <w:next w:val="Normal"/>
    <w:link w:val="Heading8Char"/>
    <w:uiPriority w:val="9"/>
    <w:unhideWhenUsed/>
    <w:qFormat/>
    <w:rsid w:val="003453F7"/>
    <w:pPr>
      <w:keepNext/>
      <w:keepLines/>
      <w:numPr>
        <w:ilvl w:val="7"/>
        <w:numId w:val="9"/>
      </w:numPr>
      <w:spacing w:before="200" w:line="280" w:lineRule="atLeast"/>
      <w:jc w:val="both"/>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3453F7"/>
    <w:pPr>
      <w:keepNext/>
      <w:keepLines/>
      <w:numPr>
        <w:ilvl w:val="8"/>
        <w:numId w:val="9"/>
      </w:numPr>
      <w:spacing w:before="200" w:line="280" w:lineRule="atLeast"/>
      <w:jc w:val="both"/>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2C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2C18"/>
    <w:pPr>
      <w:ind w:left="720"/>
      <w:contextualSpacing/>
    </w:pPr>
  </w:style>
  <w:style w:type="paragraph" w:customStyle="1" w:styleId="bul1">
    <w:name w:val="bul1"/>
    <w:basedOn w:val="Normal"/>
    <w:link w:val="bul1Char"/>
    <w:qFormat/>
    <w:rsid w:val="00E7344B"/>
    <w:pPr>
      <w:numPr>
        <w:numId w:val="7"/>
      </w:numPr>
      <w:spacing w:line="280" w:lineRule="atLeast"/>
      <w:ind w:left="851" w:hanging="851"/>
      <w:jc w:val="both"/>
    </w:pPr>
    <w:rPr>
      <w:rFonts w:ascii="Verdana" w:eastAsia="Calibri" w:hAnsi="Verdana" w:cs="Times New Roman"/>
      <w:sz w:val="18"/>
      <w:lang w:val="es-ES" w:eastAsia="de-DE"/>
    </w:rPr>
  </w:style>
  <w:style w:type="character" w:customStyle="1" w:styleId="bul1Char">
    <w:name w:val="bul1 Char"/>
    <w:link w:val="bul1"/>
    <w:locked/>
    <w:rsid w:val="00E7344B"/>
    <w:rPr>
      <w:rFonts w:ascii="Verdana" w:eastAsia="Calibri" w:hAnsi="Verdana" w:cs="Times New Roman"/>
      <w:sz w:val="18"/>
      <w:lang w:val="es-ES" w:eastAsia="de-DE"/>
    </w:rPr>
  </w:style>
  <w:style w:type="character" w:styleId="Hyperlink">
    <w:name w:val="Hyperlink"/>
    <w:basedOn w:val="DefaultParagraphFont"/>
    <w:uiPriority w:val="99"/>
    <w:unhideWhenUsed/>
    <w:rsid w:val="005703B7"/>
    <w:rPr>
      <w:color w:val="0563C1" w:themeColor="hyperlink"/>
      <w:u w:val="single"/>
    </w:rPr>
  </w:style>
  <w:style w:type="paragraph" w:styleId="Subtitle">
    <w:name w:val="Subtitle"/>
    <w:basedOn w:val="Normal"/>
    <w:next w:val="Normal"/>
    <w:link w:val="SubtitleChar"/>
    <w:uiPriority w:val="11"/>
    <w:qFormat/>
    <w:rsid w:val="00CB3026"/>
    <w:pPr>
      <w:numPr>
        <w:ilvl w:val="1"/>
      </w:numPr>
      <w:spacing w:before="20" w:after="120" w:line="280" w:lineRule="atLeast"/>
      <w:jc w:val="both"/>
    </w:pPr>
    <w:rPr>
      <w:rFonts w:ascii="Verdana Bold" w:eastAsiaTheme="majorEastAsia" w:hAnsi="Verdana Bold" w:cstheme="majorBidi"/>
      <w:iCs/>
      <w:color w:val="000000" w:themeColor="text1"/>
      <w:sz w:val="18"/>
    </w:rPr>
  </w:style>
  <w:style w:type="character" w:customStyle="1" w:styleId="SubtitleChar">
    <w:name w:val="Subtitle Char"/>
    <w:basedOn w:val="DefaultParagraphFont"/>
    <w:link w:val="Subtitle"/>
    <w:uiPriority w:val="11"/>
    <w:rsid w:val="00CB3026"/>
    <w:rPr>
      <w:rFonts w:ascii="Verdana Bold" w:eastAsiaTheme="majorEastAsia" w:hAnsi="Verdana Bold" w:cstheme="majorBidi"/>
      <w:iCs/>
      <w:color w:val="000000" w:themeColor="text1"/>
      <w:sz w:val="18"/>
    </w:rPr>
  </w:style>
  <w:style w:type="character" w:customStyle="1" w:styleId="Heading1Char">
    <w:name w:val="Heading 1 Char"/>
    <w:basedOn w:val="DefaultParagraphFont"/>
    <w:link w:val="Heading1"/>
    <w:uiPriority w:val="9"/>
    <w:rsid w:val="003453F7"/>
    <w:rPr>
      <w:rFonts w:ascii="Verdana" w:eastAsiaTheme="majorEastAsia" w:hAnsi="Verdana" w:cstheme="majorBidi"/>
      <w:b/>
      <w:bCs/>
      <w:sz w:val="28"/>
      <w:szCs w:val="28"/>
    </w:rPr>
  </w:style>
  <w:style w:type="character" w:customStyle="1" w:styleId="Heading2Char">
    <w:name w:val="Heading 2 Char"/>
    <w:basedOn w:val="DefaultParagraphFont"/>
    <w:link w:val="Heading2"/>
    <w:uiPriority w:val="9"/>
    <w:rsid w:val="003453F7"/>
    <w:rPr>
      <w:rFonts w:ascii="Verdana" w:eastAsiaTheme="majorEastAsia" w:hAnsi="Verdana" w:cstheme="majorBidi"/>
      <w:b/>
      <w:bCs/>
      <w:sz w:val="20"/>
      <w:szCs w:val="26"/>
    </w:rPr>
  </w:style>
  <w:style w:type="character" w:customStyle="1" w:styleId="Heading3Char">
    <w:name w:val="Heading 3 Char"/>
    <w:basedOn w:val="DefaultParagraphFont"/>
    <w:link w:val="Heading3"/>
    <w:uiPriority w:val="9"/>
    <w:rsid w:val="003453F7"/>
    <w:rPr>
      <w:rFonts w:ascii="Verdana" w:eastAsiaTheme="majorEastAsia" w:hAnsi="Verdana" w:cstheme="majorBidi"/>
      <w:b/>
      <w:bCs/>
      <w:sz w:val="18"/>
      <w:szCs w:val="22"/>
    </w:rPr>
  </w:style>
  <w:style w:type="character" w:customStyle="1" w:styleId="Heading4Char">
    <w:name w:val="Heading 4 Char"/>
    <w:basedOn w:val="DefaultParagraphFont"/>
    <w:link w:val="Heading4"/>
    <w:uiPriority w:val="9"/>
    <w:rsid w:val="003453F7"/>
    <w:rPr>
      <w:rFonts w:ascii="Verdana" w:eastAsiaTheme="majorEastAsia" w:hAnsi="Verdana" w:cstheme="majorBidi"/>
      <w:b/>
      <w:bCs/>
      <w:iCs/>
      <w:sz w:val="18"/>
      <w:szCs w:val="22"/>
    </w:rPr>
  </w:style>
  <w:style w:type="character" w:customStyle="1" w:styleId="Heading5Char">
    <w:name w:val="Heading 5 Char"/>
    <w:basedOn w:val="DefaultParagraphFont"/>
    <w:link w:val="Heading5"/>
    <w:uiPriority w:val="9"/>
    <w:rsid w:val="003453F7"/>
    <w:rPr>
      <w:rFonts w:asciiTheme="majorHAnsi" w:eastAsiaTheme="majorEastAsia" w:hAnsiTheme="majorHAnsi" w:cstheme="majorBidi"/>
      <w:color w:val="1F3763" w:themeColor="accent1" w:themeShade="7F"/>
      <w:sz w:val="22"/>
      <w:szCs w:val="22"/>
    </w:rPr>
  </w:style>
  <w:style w:type="character" w:customStyle="1" w:styleId="Heading6Char">
    <w:name w:val="Heading 6 Char"/>
    <w:basedOn w:val="DefaultParagraphFont"/>
    <w:link w:val="Heading6"/>
    <w:uiPriority w:val="9"/>
    <w:rsid w:val="003453F7"/>
    <w:rPr>
      <w:rFonts w:asciiTheme="majorHAnsi" w:eastAsiaTheme="majorEastAsia" w:hAnsiTheme="majorHAnsi" w:cstheme="majorBidi"/>
      <w:i/>
      <w:iCs/>
      <w:color w:val="1F3763" w:themeColor="accent1" w:themeShade="7F"/>
      <w:sz w:val="22"/>
      <w:szCs w:val="22"/>
    </w:rPr>
  </w:style>
  <w:style w:type="character" w:customStyle="1" w:styleId="Heading7Char">
    <w:name w:val="Heading 7 Char"/>
    <w:basedOn w:val="DefaultParagraphFont"/>
    <w:link w:val="Heading7"/>
    <w:uiPriority w:val="9"/>
    <w:rsid w:val="003453F7"/>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rsid w:val="003453F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3453F7"/>
    <w:rPr>
      <w:rFonts w:asciiTheme="majorHAnsi" w:eastAsiaTheme="majorEastAsia" w:hAnsiTheme="majorHAnsi" w:cstheme="majorBidi"/>
      <w:i/>
      <w:iCs/>
      <w:color w:val="404040" w:themeColor="text1" w:themeTint="BF"/>
      <w:sz w:val="20"/>
      <w:szCs w:val="20"/>
    </w:rPr>
  </w:style>
  <w:style w:type="paragraph" w:customStyle="1" w:styleId="listbullet">
    <w:name w:val="listbullet"/>
    <w:basedOn w:val="Normal"/>
    <w:rsid w:val="003453F7"/>
    <w:pPr>
      <w:numPr>
        <w:numId w:val="8"/>
      </w:numPr>
      <w:tabs>
        <w:tab w:val="left" w:pos="567"/>
      </w:tabs>
      <w:spacing w:line="280" w:lineRule="atLeast"/>
      <w:jc w:val="both"/>
    </w:pPr>
    <w:rPr>
      <w:rFonts w:ascii="Book Antiqua" w:eastAsia="Calibri" w:hAnsi="Book Antiqua" w:cs="Times New Roman"/>
      <w:sz w:val="19"/>
      <w:szCs w:val="20"/>
    </w:rPr>
  </w:style>
  <w:style w:type="paragraph" w:styleId="NormalWeb">
    <w:name w:val="Normal (Web)"/>
    <w:basedOn w:val="Normal"/>
    <w:uiPriority w:val="99"/>
    <w:semiHidden/>
    <w:unhideWhenUsed/>
    <w:rsid w:val="00556D69"/>
    <w:pPr>
      <w:spacing w:before="100" w:beforeAutospacing="1" w:after="100" w:afterAutospacing="1"/>
    </w:pPr>
    <w:rPr>
      <w:rFonts w:ascii="Times New Roman" w:hAnsi="Times New Roman" w:cs="Times New Roman"/>
      <w:lang w:eastAsia="en-GB"/>
    </w:rPr>
  </w:style>
  <w:style w:type="character" w:styleId="UnresolvedMention">
    <w:name w:val="Unresolved Mention"/>
    <w:basedOn w:val="DefaultParagraphFont"/>
    <w:uiPriority w:val="99"/>
    <w:semiHidden/>
    <w:unhideWhenUsed/>
    <w:rsid w:val="00FF29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7400814">
      <w:bodyDiv w:val="1"/>
      <w:marLeft w:val="0"/>
      <w:marRight w:val="0"/>
      <w:marTop w:val="0"/>
      <w:marBottom w:val="0"/>
      <w:divBdr>
        <w:top w:val="none" w:sz="0" w:space="0" w:color="auto"/>
        <w:left w:val="none" w:sz="0" w:space="0" w:color="auto"/>
        <w:bottom w:val="none" w:sz="0" w:space="0" w:color="auto"/>
        <w:right w:val="none" w:sz="0" w:space="0" w:color="auto"/>
      </w:divBdr>
    </w:div>
    <w:div w:id="1269236215">
      <w:bodyDiv w:val="1"/>
      <w:marLeft w:val="0"/>
      <w:marRight w:val="0"/>
      <w:marTop w:val="0"/>
      <w:marBottom w:val="0"/>
      <w:divBdr>
        <w:top w:val="none" w:sz="0" w:space="0" w:color="auto"/>
        <w:left w:val="none" w:sz="0" w:space="0" w:color="auto"/>
        <w:bottom w:val="none" w:sz="0" w:space="0" w:color="auto"/>
        <w:right w:val="none" w:sz="0" w:space="0" w:color="auto"/>
      </w:divBdr>
      <w:divsChild>
        <w:div w:id="1448968158">
          <w:marLeft w:val="547"/>
          <w:marRight w:val="0"/>
          <w:marTop w:val="134"/>
          <w:marBottom w:val="0"/>
          <w:divBdr>
            <w:top w:val="none" w:sz="0" w:space="0" w:color="auto"/>
            <w:left w:val="none" w:sz="0" w:space="0" w:color="auto"/>
            <w:bottom w:val="none" w:sz="0" w:space="0" w:color="auto"/>
            <w:right w:val="none" w:sz="0" w:space="0" w:color="auto"/>
          </w:divBdr>
        </w:div>
        <w:div w:id="1467234423">
          <w:marLeft w:val="547"/>
          <w:marRight w:val="0"/>
          <w:marTop w:val="134"/>
          <w:marBottom w:val="0"/>
          <w:divBdr>
            <w:top w:val="none" w:sz="0" w:space="0" w:color="auto"/>
            <w:left w:val="none" w:sz="0" w:space="0" w:color="auto"/>
            <w:bottom w:val="none" w:sz="0" w:space="0" w:color="auto"/>
            <w:right w:val="none" w:sz="0" w:space="0" w:color="auto"/>
          </w:divBdr>
        </w:div>
        <w:div w:id="1050835902">
          <w:marLeft w:val="547"/>
          <w:marRight w:val="0"/>
          <w:marTop w:val="134"/>
          <w:marBottom w:val="0"/>
          <w:divBdr>
            <w:top w:val="none" w:sz="0" w:space="0" w:color="auto"/>
            <w:left w:val="none" w:sz="0" w:space="0" w:color="auto"/>
            <w:bottom w:val="none" w:sz="0" w:space="0" w:color="auto"/>
            <w:right w:val="none" w:sz="0" w:space="0" w:color="auto"/>
          </w:divBdr>
        </w:div>
        <w:div w:id="583953175">
          <w:marLeft w:val="547"/>
          <w:marRight w:val="0"/>
          <w:marTop w:val="134"/>
          <w:marBottom w:val="0"/>
          <w:divBdr>
            <w:top w:val="none" w:sz="0" w:space="0" w:color="auto"/>
            <w:left w:val="none" w:sz="0" w:space="0" w:color="auto"/>
            <w:bottom w:val="none" w:sz="0" w:space="0" w:color="auto"/>
            <w:right w:val="none" w:sz="0" w:space="0" w:color="auto"/>
          </w:divBdr>
        </w:div>
        <w:div w:id="820655025">
          <w:marLeft w:val="547"/>
          <w:marRight w:val="0"/>
          <w:marTop w:val="134"/>
          <w:marBottom w:val="0"/>
          <w:divBdr>
            <w:top w:val="none" w:sz="0" w:space="0" w:color="auto"/>
            <w:left w:val="none" w:sz="0" w:space="0" w:color="auto"/>
            <w:bottom w:val="none" w:sz="0" w:space="0" w:color="auto"/>
            <w:right w:val="none" w:sz="0" w:space="0" w:color="auto"/>
          </w:divBdr>
        </w:div>
        <w:div w:id="1969164461">
          <w:marLeft w:val="547"/>
          <w:marRight w:val="0"/>
          <w:marTop w:val="134"/>
          <w:marBottom w:val="0"/>
          <w:divBdr>
            <w:top w:val="none" w:sz="0" w:space="0" w:color="auto"/>
            <w:left w:val="none" w:sz="0" w:space="0" w:color="auto"/>
            <w:bottom w:val="none" w:sz="0" w:space="0" w:color="auto"/>
            <w:right w:val="none" w:sz="0" w:space="0" w:color="auto"/>
          </w:divBdr>
        </w:div>
      </w:divsChild>
    </w:div>
    <w:div w:id="1291088484">
      <w:bodyDiv w:val="1"/>
      <w:marLeft w:val="0"/>
      <w:marRight w:val="0"/>
      <w:marTop w:val="0"/>
      <w:marBottom w:val="0"/>
      <w:divBdr>
        <w:top w:val="none" w:sz="0" w:space="0" w:color="auto"/>
        <w:left w:val="none" w:sz="0" w:space="0" w:color="auto"/>
        <w:bottom w:val="none" w:sz="0" w:space="0" w:color="auto"/>
        <w:right w:val="none" w:sz="0" w:space="0" w:color="auto"/>
      </w:divBdr>
    </w:div>
    <w:div w:id="14855812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m.coe.int/16802fa40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864</Words>
  <Characters>4931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Nigel (nigel.jones@canterbury.ac.uk)</dc:creator>
  <cp:keywords/>
  <dc:description/>
  <cp:lastModifiedBy>Abbas Lotia</cp:lastModifiedBy>
  <cp:revision>3</cp:revision>
  <dcterms:created xsi:type="dcterms:W3CDTF">2020-10-14T12:57:00Z</dcterms:created>
  <dcterms:modified xsi:type="dcterms:W3CDTF">2020-10-14T13:02:00Z</dcterms:modified>
</cp:coreProperties>
</file>