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D2E59" w14:textId="43C88A53" w:rsidR="00D82C18" w:rsidRPr="006D7128" w:rsidRDefault="00B71D66" w:rsidP="006D7128">
      <w:pPr>
        <w:rPr>
          <w:rFonts w:ascii="Verdana" w:hAnsi="Verdana"/>
        </w:rPr>
      </w:pPr>
      <w:r w:rsidRPr="006D7128">
        <w:rPr>
          <w:rFonts w:ascii="Verdana" w:hAnsi="Verdana"/>
          <w:b/>
          <w:sz w:val="32"/>
          <w:szCs w:val="32"/>
        </w:rPr>
        <w:t>Lesson Plan</w:t>
      </w:r>
    </w:p>
    <w:p w14:paraId="297047B4" w14:textId="77777777" w:rsidR="00B71D66" w:rsidRPr="003406F3" w:rsidRDefault="00B71D66" w:rsidP="00B71D66">
      <w:pPr>
        <w:pStyle w:val="ListParagraph"/>
        <w:ind w:left="360"/>
        <w:rPr>
          <w:rFonts w:ascii="Verdana" w:hAnsi="Verdana"/>
        </w:rPr>
      </w:pPr>
    </w:p>
    <w:p w14:paraId="6857C56D" w14:textId="29B36748" w:rsidR="00D82C18" w:rsidRPr="006D7128" w:rsidRDefault="00D82C18" w:rsidP="006D7128">
      <w:pPr>
        <w:rPr>
          <w:rFonts w:ascii="Verdana" w:hAnsi="Verdana"/>
          <w:b/>
          <w:sz w:val="22"/>
          <w:szCs w:val="22"/>
        </w:rPr>
      </w:pPr>
      <w:r w:rsidRPr="006D7128">
        <w:rPr>
          <w:rFonts w:ascii="Verdana" w:hAnsi="Verdana"/>
          <w:sz w:val="28"/>
          <w:szCs w:val="28"/>
        </w:rPr>
        <w:t xml:space="preserve">Lesson </w:t>
      </w:r>
      <w:r w:rsidR="005951B6" w:rsidRPr="006D7128">
        <w:rPr>
          <w:rFonts w:ascii="Verdana" w:hAnsi="Verdana"/>
          <w:sz w:val="28"/>
          <w:szCs w:val="28"/>
        </w:rPr>
        <w:t>1</w:t>
      </w:r>
      <w:r w:rsidRPr="006D7128">
        <w:rPr>
          <w:rFonts w:ascii="Verdana" w:hAnsi="Verdana"/>
          <w:sz w:val="28"/>
          <w:szCs w:val="28"/>
        </w:rPr>
        <w:t>.</w:t>
      </w:r>
      <w:r w:rsidR="00DD2408">
        <w:rPr>
          <w:rFonts w:ascii="Verdana" w:hAnsi="Verdana"/>
          <w:sz w:val="28"/>
          <w:szCs w:val="28"/>
        </w:rPr>
        <w:t>3.5</w:t>
      </w:r>
      <w:r w:rsidRPr="006D7128">
        <w:rPr>
          <w:rFonts w:ascii="Verdana" w:hAnsi="Verdana"/>
          <w:sz w:val="28"/>
          <w:szCs w:val="28"/>
        </w:rPr>
        <w:t xml:space="preserve"> (</w:t>
      </w:r>
      <w:r w:rsidR="0036129C" w:rsidRPr="006D7128">
        <w:rPr>
          <w:rFonts w:ascii="Verdana" w:hAnsi="Verdana"/>
          <w:sz w:val="28"/>
          <w:szCs w:val="28"/>
        </w:rPr>
        <w:t>Public Private Cooperation</w:t>
      </w:r>
      <w:r w:rsidRPr="006D7128">
        <w:rPr>
          <w:rFonts w:ascii="Verdana" w:hAnsi="Verdana"/>
          <w:sz w:val="28"/>
          <w:szCs w:val="28"/>
        </w:rPr>
        <w:t>)</w:t>
      </w:r>
    </w:p>
    <w:p w14:paraId="0A3DD02D" w14:textId="77777777" w:rsidR="00D82C18" w:rsidRPr="003406F3" w:rsidRDefault="00D82C18" w:rsidP="00B71D66">
      <w:pPr>
        <w:ind w:left="720"/>
        <w:rPr>
          <w:rFonts w:ascii="Verdana" w:hAnsi="Verdana"/>
        </w:rPr>
      </w:pPr>
    </w:p>
    <w:tbl>
      <w:tblPr>
        <w:tblStyle w:val="TableGrid"/>
        <w:tblW w:w="0" w:type="auto"/>
        <w:tblLook w:val="04A0" w:firstRow="1" w:lastRow="0" w:firstColumn="1" w:lastColumn="0" w:noHBand="0" w:noVBand="1"/>
      </w:tblPr>
      <w:tblGrid>
        <w:gridCol w:w="1615"/>
        <w:gridCol w:w="4711"/>
        <w:gridCol w:w="2684"/>
      </w:tblGrid>
      <w:tr w:rsidR="003406F3" w:rsidRPr="003406F3" w14:paraId="58A3485E" w14:textId="77777777" w:rsidTr="00CB3026">
        <w:trPr>
          <w:trHeight w:val="872"/>
        </w:trPr>
        <w:tc>
          <w:tcPr>
            <w:tcW w:w="6326" w:type="dxa"/>
            <w:gridSpan w:val="2"/>
            <w:shd w:val="clear" w:color="auto" w:fill="DEEAF6" w:themeFill="accent5" w:themeFillTint="33"/>
            <w:vAlign w:val="center"/>
          </w:tcPr>
          <w:p w14:paraId="0067FF35" w14:textId="26E13069" w:rsidR="00D82C18" w:rsidRPr="003406F3" w:rsidRDefault="00D82C18" w:rsidP="00DD2408">
            <w:pPr>
              <w:rPr>
                <w:rFonts w:ascii="Verdana" w:hAnsi="Verdana"/>
                <w:sz w:val="22"/>
                <w:szCs w:val="22"/>
              </w:rPr>
            </w:pPr>
            <w:r w:rsidRPr="003406F3">
              <w:rPr>
                <w:rFonts w:ascii="Verdana" w:hAnsi="Verdana"/>
                <w:sz w:val="22"/>
                <w:szCs w:val="22"/>
              </w:rPr>
              <w:t xml:space="preserve">Lesson </w:t>
            </w:r>
            <w:r w:rsidR="005951B6" w:rsidRPr="003406F3">
              <w:rPr>
                <w:rFonts w:ascii="Verdana" w:hAnsi="Verdana"/>
                <w:sz w:val="22"/>
                <w:szCs w:val="22"/>
              </w:rPr>
              <w:t>1</w:t>
            </w:r>
            <w:r w:rsidRPr="003406F3">
              <w:rPr>
                <w:rFonts w:ascii="Verdana" w:hAnsi="Verdana"/>
                <w:sz w:val="22"/>
                <w:szCs w:val="22"/>
              </w:rPr>
              <w:t>.</w:t>
            </w:r>
            <w:r w:rsidR="00DD2408">
              <w:rPr>
                <w:rFonts w:ascii="Verdana" w:hAnsi="Verdana"/>
                <w:sz w:val="22"/>
                <w:szCs w:val="22"/>
              </w:rPr>
              <w:t>3.5</w:t>
            </w:r>
            <w:r w:rsidRPr="003406F3">
              <w:rPr>
                <w:rFonts w:ascii="Verdana" w:hAnsi="Verdana"/>
                <w:sz w:val="22"/>
                <w:szCs w:val="22"/>
              </w:rPr>
              <w:t xml:space="preserve"> (</w:t>
            </w:r>
            <w:r w:rsidR="00DD2408">
              <w:rPr>
                <w:rFonts w:ascii="Verdana" w:hAnsi="Verdana"/>
                <w:sz w:val="22"/>
                <w:szCs w:val="22"/>
              </w:rPr>
              <w:t>Public Private</w:t>
            </w:r>
            <w:r w:rsidR="006B6864">
              <w:rPr>
                <w:rFonts w:ascii="Verdana" w:hAnsi="Verdana"/>
                <w:sz w:val="22"/>
                <w:szCs w:val="22"/>
              </w:rPr>
              <w:t xml:space="preserve"> </w:t>
            </w:r>
            <w:r w:rsidR="00397FEA">
              <w:rPr>
                <w:rFonts w:ascii="Verdana" w:hAnsi="Verdana"/>
                <w:sz w:val="22"/>
                <w:szCs w:val="22"/>
              </w:rPr>
              <w:t>Cooperation</w:t>
            </w:r>
            <w:r w:rsidRPr="003406F3">
              <w:rPr>
                <w:rFonts w:ascii="Verdana" w:hAnsi="Verdana"/>
                <w:sz w:val="22"/>
                <w:szCs w:val="22"/>
              </w:rPr>
              <w:t>)</w:t>
            </w:r>
          </w:p>
        </w:tc>
        <w:tc>
          <w:tcPr>
            <w:tcW w:w="2684" w:type="dxa"/>
            <w:shd w:val="clear" w:color="auto" w:fill="DEEAF6" w:themeFill="accent5" w:themeFillTint="33"/>
            <w:vAlign w:val="center"/>
          </w:tcPr>
          <w:p w14:paraId="30B631DA" w14:textId="6D0D1530" w:rsidR="00D82C18" w:rsidRPr="003406F3" w:rsidRDefault="00D82C18" w:rsidP="006D7128">
            <w:pPr>
              <w:rPr>
                <w:rFonts w:ascii="Verdana" w:hAnsi="Verdana"/>
                <w:sz w:val="22"/>
                <w:szCs w:val="22"/>
              </w:rPr>
            </w:pPr>
            <w:r w:rsidRPr="003406F3">
              <w:rPr>
                <w:rFonts w:ascii="Verdana" w:hAnsi="Verdana"/>
                <w:sz w:val="22"/>
                <w:szCs w:val="22"/>
              </w:rPr>
              <w:t xml:space="preserve">Duration: </w:t>
            </w:r>
            <w:r w:rsidR="00BC08EF">
              <w:rPr>
                <w:rFonts w:ascii="Verdana" w:hAnsi="Verdana"/>
                <w:sz w:val="22"/>
                <w:szCs w:val="22"/>
              </w:rPr>
              <w:t>90</w:t>
            </w:r>
            <w:r w:rsidR="00B71D66" w:rsidRPr="003406F3">
              <w:rPr>
                <w:rFonts w:ascii="Verdana" w:hAnsi="Verdana"/>
                <w:sz w:val="22"/>
                <w:szCs w:val="22"/>
              </w:rPr>
              <w:t xml:space="preserve"> minutes</w:t>
            </w:r>
          </w:p>
        </w:tc>
      </w:tr>
      <w:tr w:rsidR="003406F3" w:rsidRPr="003406F3" w14:paraId="7C1107AB" w14:textId="77777777" w:rsidTr="00B569A5">
        <w:trPr>
          <w:trHeight w:val="1025"/>
        </w:trPr>
        <w:tc>
          <w:tcPr>
            <w:tcW w:w="9010" w:type="dxa"/>
            <w:gridSpan w:val="3"/>
            <w:vAlign w:val="center"/>
          </w:tcPr>
          <w:p w14:paraId="54042637" w14:textId="5D5B0179" w:rsidR="00E7344B" w:rsidRPr="003406F3" w:rsidRDefault="00E7344B" w:rsidP="005951B6">
            <w:pPr>
              <w:spacing w:before="120" w:after="120" w:line="280" w:lineRule="exact"/>
              <w:rPr>
                <w:rFonts w:ascii="Verdana" w:hAnsi="Verdana"/>
                <w:b/>
                <w:sz w:val="22"/>
                <w:szCs w:val="22"/>
              </w:rPr>
            </w:pPr>
            <w:r w:rsidRPr="003406F3">
              <w:rPr>
                <w:rFonts w:ascii="Verdana" w:hAnsi="Verdana"/>
                <w:b/>
                <w:sz w:val="22"/>
                <w:szCs w:val="22"/>
              </w:rPr>
              <w:t>Resources Required:</w:t>
            </w:r>
          </w:p>
          <w:p w14:paraId="3E3ADEA0" w14:textId="77777777" w:rsidR="00E7344B" w:rsidRPr="003406F3" w:rsidRDefault="00E7344B" w:rsidP="00F62A15">
            <w:pPr>
              <w:pStyle w:val="bul1"/>
              <w:numPr>
                <w:ilvl w:val="0"/>
                <w:numId w:val="6"/>
              </w:numPr>
              <w:spacing w:before="120" w:after="120" w:line="280" w:lineRule="exact"/>
              <w:contextualSpacing/>
              <w:rPr>
                <w:szCs w:val="18"/>
                <w:lang w:val="en-GB"/>
              </w:rPr>
            </w:pPr>
            <w:r w:rsidRPr="003406F3">
              <w:rPr>
                <w:szCs w:val="18"/>
                <w:lang w:val="en-GB"/>
              </w:rPr>
              <w:t xml:space="preserve">PC/Laptop </w:t>
            </w:r>
            <w:r w:rsidRPr="003406F3">
              <w:rPr>
                <w:rFonts w:eastAsia="Times New Roman"/>
                <w:szCs w:val="18"/>
                <w:lang w:val="en-GB" w:eastAsia="en-US"/>
              </w:rPr>
              <w:t>loaded with software versions compatible with the prepared materials</w:t>
            </w:r>
          </w:p>
          <w:p w14:paraId="737B8760" w14:textId="77777777" w:rsidR="00E7344B" w:rsidRPr="003406F3" w:rsidRDefault="00E7344B" w:rsidP="00F62A15">
            <w:pPr>
              <w:pStyle w:val="bul1"/>
              <w:numPr>
                <w:ilvl w:val="0"/>
                <w:numId w:val="6"/>
              </w:numPr>
              <w:spacing w:before="120" w:after="120" w:line="280" w:lineRule="exact"/>
              <w:contextualSpacing/>
              <w:rPr>
                <w:szCs w:val="18"/>
                <w:lang w:val="en-GB"/>
              </w:rPr>
            </w:pPr>
            <w:r w:rsidRPr="003406F3">
              <w:rPr>
                <w:bCs/>
                <w:szCs w:val="18"/>
                <w:lang w:val="en-GB"/>
              </w:rPr>
              <w:t>Projector and display screen</w:t>
            </w:r>
            <w:r w:rsidR="00F62A15" w:rsidRPr="003406F3">
              <w:rPr>
                <w:bCs/>
                <w:szCs w:val="18"/>
                <w:lang w:val="en-GB"/>
              </w:rPr>
              <w:t>.</w:t>
            </w:r>
          </w:p>
          <w:p w14:paraId="65055340" w14:textId="77777777" w:rsidR="00E7344B" w:rsidRPr="003406F3" w:rsidRDefault="00E7344B" w:rsidP="00F62A15">
            <w:pPr>
              <w:pStyle w:val="bul1"/>
              <w:numPr>
                <w:ilvl w:val="0"/>
                <w:numId w:val="6"/>
              </w:numPr>
              <w:spacing w:before="120" w:after="120" w:line="280" w:lineRule="exact"/>
              <w:contextualSpacing/>
              <w:rPr>
                <w:szCs w:val="18"/>
                <w:lang w:val="en-GB"/>
              </w:rPr>
            </w:pPr>
            <w:r w:rsidRPr="003406F3">
              <w:rPr>
                <w:bCs/>
                <w:szCs w:val="18"/>
                <w:lang w:val="en-GB"/>
              </w:rPr>
              <w:t>Internet access (if available)</w:t>
            </w:r>
            <w:r w:rsidR="00F62A15" w:rsidRPr="003406F3">
              <w:rPr>
                <w:bCs/>
                <w:szCs w:val="18"/>
                <w:lang w:val="en-GB"/>
              </w:rPr>
              <w:t>.</w:t>
            </w:r>
            <w:r w:rsidRPr="003406F3">
              <w:rPr>
                <w:bCs/>
                <w:szCs w:val="18"/>
                <w:lang w:val="en-GB"/>
              </w:rPr>
              <w:t xml:space="preserve"> </w:t>
            </w:r>
          </w:p>
          <w:p w14:paraId="14CF9EF0" w14:textId="73EC6711" w:rsidR="00E7344B" w:rsidRPr="003406F3" w:rsidRDefault="00E7344B" w:rsidP="00B569A5">
            <w:pPr>
              <w:pStyle w:val="bul1"/>
              <w:numPr>
                <w:ilvl w:val="0"/>
                <w:numId w:val="6"/>
              </w:numPr>
              <w:spacing w:before="120" w:after="120" w:line="280" w:lineRule="exact"/>
              <w:contextualSpacing/>
              <w:rPr>
                <w:i/>
                <w:szCs w:val="18"/>
                <w:lang w:val="en-GB"/>
              </w:rPr>
            </w:pPr>
            <w:r w:rsidRPr="003406F3">
              <w:rPr>
                <w:rFonts w:cs="Helvetica"/>
                <w:szCs w:val="18"/>
                <w:lang w:val="en-GB"/>
              </w:rPr>
              <w:t>Student notepaper and pens</w:t>
            </w:r>
            <w:r w:rsidR="00F62A15" w:rsidRPr="003406F3">
              <w:rPr>
                <w:rFonts w:cs="Helvetica"/>
                <w:szCs w:val="18"/>
                <w:lang w:val="en-GB"/>
              </w:rPr>
              <w:t>.</w:t>
            </w:r>
          </w:p>
        </w:tc>
      </w:tr>
      <w:tr w:rsidR="003406F3" w:rsidRPr="003406F3" w14:paraId="635F2EFD" w14:textId="77777777" w:rsidTr="00B569A5">
        <w:trPr>
          <w:trHeight w:val="1241"/>
        </w:trPr>
        <w:tc>
          <w:tcPr>
            <w:tcW w:w="9010" w:type="dxa"/>
            <w:gridSpan w:val="3"/>
            <w:vAlign w:val="center"/>
          </w:tcPr>
          <w:p w14:paraId="34602AF3" w14:textId="1EB448F3" w:rsidR="00A03CF0" w:rsidRPr="003406F3" w:rsidRDefault="00A03CF0" w:rsidP="00F62A15">
            <w:pPr>
              <w:spacing w:before="120" w:after="120" w:line="280" w:lineRule="exact"/>
              <w:rPr>
                <w:rFonts w:ascii="Verdana" w:hAnsi="Verdana"/>
                <w:b/>
                <w:sz w:val="22"/>
                <w:szCs w:val="22"/>
              </w:rPr>
            </w:pPr>
            <w:r w:rsidRPr="003406F3">
              <w:rPr>
                <w:rFonts w:ascii="Verdana" w:hAnsi="Verdana"/>
                <w:b/>
                <w:sz w:val="22"/>
                <w:szCs w:val="22"/>
              </w:rPr>
              <w:t xml:space="preserve">Session Aim:  </w:t>
            </w:r>
          </w:p>
          <w:p w14:paraId="3FE58655" w14:textId="19EA6C2A" w:rsidR="00A03CF0" w:rsidRPr="003406F3" w:rsidRDefault="007B75A9" w:rsidP="0036129C">
            <w:pPr>
              <w:spacing w:before="120" w:after="120" w:line="280" w:lineRule="exact"/>
              <w:jc w:val="both"/>
              <w:rPr>
                <w:rFonts w:ascii="Verdana" w:hAnsi="Verdana"/>
                <w:sz w:val="18"/>
                <w:szCs w:val="18"/>
              </w:rPr>
            </w:pPr>
            <w:r w:rsidRPr="003406F3">
              <w:rPr>
                <w:rFonts w:ascii="Verdana" w:hAnsi="Verdana"/>
                <w:sz w:val="18"/>
                <w:szCs w:val="18"/>
              </w:rPr>
              <w:t xml:space="preserve">The overall purpose of this session is to </w:t>
            </w:r>
            <w:r w:rsidR="0051122C">
              <w:rPr>
                <w:rFonts w:ascii="Verdana" w:hAnsi="Verdana"/>
                <w:sz w:val="18"/>
                <w:szCs w:val="18"/>
              </w:rPr>
              <w:t xml:space="preserve">provide to the delegates a comprehensive understanding </w:t>
            </w:r>
            <w:r w:rsidR="0036129C">
              <w:rPr>
                <w:rFonts w:ascii="Verdana" w:hAnsi="Verdana"/>
                <w:sz w:val="18"/>
                <w:szCs w:val="18"/>
              </w:rPr>
              <w:t>of the means and channels available for cooperation between the public and private sector, both domestically and internationally, for the purposes of combatting cybercrime.</w:t>
            </w:r>
          </w:p>
        </w:tc>
      </w:tr>
      <w:tr w:rsidR="003406F3" w:rsidRPr="003406F3" w14:paraId="1B5A80A7" w14:textId="77777777" w:rsidTr="00B569A5">
        <w:trPr>
          <w:trHeight w:val="2240"/>
        </w:trPr>
        <w:tc>
          <w:tcPr>
            <w:tcW w:w="9010" w:type="dxa"/>
            <w:gridSpan w:val="3"/>
            <w:vAlign w:val="center"/>
          </w:tcPr>
          <w:p w14:paraId="559A7E05" w14:textId="77777777" w:rsidR="00A03CF0" w:rsidRPr="003406F3" w:rsidRDefault="00271010" w:rsidP="00F62A15">
            <w:pPr>
              <w:spacing w:before="120" w:after="120" w:line="280" w:lineRule="exact"/>
              <w:rPr>
                <w:rFonts w:ascii="Verdana" w:hAnsi="Verdana"/>
                <w:b/>
                <w:sz w:val="22"/>
                <w:szCs w:val="22"/>
              </w:rPr>
            </w:pPr>
            <w:r w:rsidRPr="003406F3">
              <w:rPr>
                <w:rFonts w:ascii="Verdana" w:hAnsi="Verdana"/>
                <w:b/>
                <w:sz w:val="22"/>
                <w:szCs w:val="22"/>
              </w:rPr>
              <w:t>Objectives:</w:t>
            </w:r>
          </w:p>
          <w:p w14:paraId="3BEE7864" w14:textId="77777777" w:rsidR="005703B7" w:rsidRPr="003406F3" w:rsidRDefault="005703B7" w:rsidP="00CB3026">
            <w:pPr>
              <w:tabs>
                <w:tab w:val="left" w:pos="426"/>
                <w:tab w:val="left" w:pos="851"/>
              </w:tabs>
              <w:spacing w:before="120" w:after="120" w:line="280" w:lineRule="exact"/>
              <w:contextualSpacing/>
              <w:jc w:val="both"/>
              <w:rPr>
                <w:rFonts w:ascii="Verdana" w:eastAsia="Times New Roman" w:hAnsi="Verdana" w:cs="Times New Roman"/>
                <w:sz w:val="18"/>
                <w:szCs w:val="18"/>
              </w:rPr>
            </w:pPr>
            <w:r w:rsidRPr="003406F3">
              <w:rPr>
                <w:rFonts w:ascii="Verdana" w:eastAsia="Times New Roman" w:hAnsi="Verdana" w:cs="Times New Roman"/>
                <w:sz w:val="18"/>
                <w:szCs w:val="18"/>
              </w:rPr>
              <w:t>By the end of the lesson the students will be able to:</w:t>
            </w:r>
          </w:p>
          <w:p w14:paraId="468D77E8" w14:textId="72EFD1A5" w:rsidR="005703B7" w:rsidRPr="003406F3" w:rsidRDefault="0036129C" w:rsidP="00620770">
            <w:pPr>
              <w:pStyle w:val="bul1"/>
              <w:numPr>
                <w:ilvl w:val="0"/>
                <w:numId w:val="8"/>
              </w:numPr>
              <w:spacing w:before="120" w:after="120" w:line="280" w:lineRule="exact"/>
              <w:contextualSpacing/>
              <w:rPr>
                <w:szCs w:val="18"/>
                <w:lang w:val="en-US"/>
              </w:rPr>
            </w:pPr>
            <w:r w:rsidRPr="0036129C">
              <w:rPr>
                <w:szCs w:val="18"/>
                <w:lang w:val="en-GB"/>
              </w:rPr>
              <w:t>Recognise that cooperation with the private sector is essential for the purposes of combatting cybercrime</w:t>
            </w:r>
          </w:p>
          <w:p w14:paraId="3C3DE87B" w14:textId="39F5A35A" w:rsidR="005703B7" w:rsidRPr="003406F3" w:rsidRDefault="0036129C" w:rsidP="00620770">
            <w:pPr>
              <w:pStyle w:val="bul1"/>
              <w:numPr>
                <w:ilvl w:val="0"/>
                <w:numId w:val="8"/>
              </w:numPr>
              <w:spacing w:before="120" w:after="120" w:line="280" w:lineRule="exact"/>
              <w:contextualSpacing/>
              <w:rPr>
                <w:szCs w:val="18"/>
                <w:lang w:val="en-US"/>
              </w:rPr>
            </w:pPr>
            <w:r w:rsidRPr="0036129C">
              <w:rPr>
                <w:szCs w:val="18"/>
                <w:lang w:val="en-GB"/>
              </w:rPr>
              <w:t>Identify the levels of cooperation with domestic industry (compulsory and voluntary cooperation)</w:t>
            </w:r>
          </w:p>
          <w:p w14:paraId="23100547" w14:textId="1D17E971" w:rsidR="00E95703" w:rsidRPr="0051122C" w:rsidRDefault="0036129C" w:rsidP="00620770">
            <w:pPr>
              <w:pStyle w:val="bul1"/>
              <w:numPr>
                <w:ilvl w:val="0"/>
                <w:numId w:val="8"/>
              </w:numPr>
              <w:spacing w:before="120" w:after="120" w:line="280" w:lineRule="exact"/>
              <w:contextualSpacing/>
              <w:rPr>
                <w:i/>
                <w:szCs w:val="18"/>
                <w:lang w:val="en-US"/>
              </w:rPr>
            </w:pPr>
            <w:r w:rsidRPr="0036129C">
              <w:rPr>
                <w:szCs w:val="18"/>
                <w:lang w:val="en-GB"/>
              </w:rPr>
              <w:t>Identify the various tools in domestic legislation that enable mandatory cooperation between law enforcement agencies and domestic industry</w:t>
            </w:r>
          </w:p>
          <w:p w14:paraId="0524678D" w14:textId="5045AC7A" w:rsidR="0051122C" w:rsidRPr="0051122C" w:rsidRDefault="0036129C" w:rsidP="00620770">
            <w:pPr>
              <w:pStyle w:val="bul1"/>
              <w:numPr>
                <w:ilvl w:val="0"/>
                <w:numId w:val="8"/>
              </w:numPr>
              <w:spacing w:before="120" w:after="120" w:line="280" w:lineRule="exact"/>
              <w:contextualSpacing/>
              <w:rPr>
                <w:szCs w:val="18"/>
                <w:lang w:val="en-US"/>
              </w:rPr>
            </w:pPr>
            <w:r w:rsidRPr="0036129C">
              <w:rPr>
                <w:szCs w:val="18"/>
                <w:lang w:val="en-GB"/>
              </w:rPr>
              <w:t>Recognise the challenges that cloud data poses with respect to conducting cybercrime investigations</w:t>
            </w:r>
          </w:p>
          <w:p w14:paraId="4C583BEC" w14:textId="77777777" w:rsidR="0051122C" w:rsidRPr="0036129C" w:rsidRDefault="0036129C" w:rsidP="00620770">
            <w:pPr>
              <w:pStyle w:val="bul1"/>
              <w:numPr>
                <w:ilvl w:val="0"/>
                <w:numId w:val="8"/>
              </w:numPr>
              <w:spacing w:before="120" w:after="120" w:line="280" w:lineRule="exact"/>
              <w:contextualSpacing/>
              <w:rPr>
                <w:szCs w:val="18"/>
                <w:lang w:val="en-US"/>
              </w:rPr>
            </w:pPr>
            <w:r w:rsidRPr="0036129C">
              <w:rPr>
                <w:szCs w:val="18"/>
                <w:lang w:val="en-GB"/>
              </w:rPr>
              <w:t>Identify the different levels at which cooperation can take place with foreign industry</w:t>
            </w:r>
          </w:p>
          <w:p w14:paraId="1072FF9A" w14:textId="77777777" w:rsidR="0036129C" w:rsidRPr="0036129C" w:rsidRDefault="0036129C" w:rsidP="00620770">
            <w:pPr>
              <w:pStyle w:val="bul1"/>
              <w:numPr>
                <w:ilvl w:val="0"/>
                <w:numId w:val="8"/>
              </w:numPr>
              <w:spacing w:before="120" w:after="120" w:line="280" w:lineRule="exact"/>
              <w:contextualSpacing/>
              <w:rPr>
                <w:szCs w:val="18"/>
                <w:lang w:val="en-US"/>
              </w:rPr>
            </w:pPr>
            <w:r w:rsidRPr="0036129C">
              <w:rPr>
                <w:szCs w:val="18"/>
                <w:lang w:val="en-GB"/>
              </w:rPr>
              <w:t>Explain the hurdles that law enforcement agencies have with respect to accessing data held by multinational service providers</w:t>
            </w:r>
          </w:p>
          <w:p w14:paraId="193A8006" w14:textId="77777777" w:rsidR="0036129C" w:rsidRPr="0036129C" w:rsidRDefault="0036129C" w:rsidP="00620770">
            <w:pPr>
              <w:pStyle w:val="bul1"/>
              <w:numPr>
                <w:ilvl w:val="0"/>
                <w:numId w:val="8"/>
              </w:numPr>
              <w:spacing w:before="120" w:after="120" w:line="280" w:lineRule="exact"/>
              <w:contextualSpacing/>
              <w:rPr>
                <w:szCs w:val="18"/>
                <w:lang w:val="en-US"/>
              </w:rPr>
            </w:pPr>
            <w:r w:rsidRPr="0036129C">
              <w:rPr>
                <w:szCs w:val="18"/>
                <w:lang w:val="en-GB"/>
              </w:rPr>
              <w:t>Identify that cooperation can occur formally through governments or informally by law enforcement officials directly with multinational service providers</w:t>
            </w:r>
          </w:p>
          <w:p w14:paraId="7FFF47C2" w14:textId="77777777" w:rsidR="0036129C" w:rsidRPr="0036129C" w:rsidRDefault="0036129C" w:rsidP="00620770">
            <w:pPr>
              <w:pStyle w:val="bul1"/>
              <w:numPr>
                <w:ilvl w:val="0"/>
                <w:numId w:val="8"/>
              </w:numPr>
              <w:spacing w:before="120" w:after="120" w:line="280" w:lineRule="exact"/>
              <w:contextualSpacing/>
              <w:rPr>
                <w:szCs w:val="18"/>
                <w:lang w:val="en-US"/>
              </w:rPr>
            </w:pPr>
            <w:r w:rsidRPr="0036129C">
              <w:rPr>
                <w:szCs w:val="18"/>
                <w:lang w:val="en-GB"/>
              </w:rPr>
              <w:t>Discuss examples of cooperation with multinational service providers in obtaining access to data</w:t>
            </w:r>
          </w:p>
          <w:p w14:paraId="61ABEAC5" w14:textId="04158EE4" w:rsidR="0036129C" w:rsidRPr="0051122C" w:rsidRDefault="0036129C" w:rsidP="00620770">
            <w:pPr>
              <w:pStyle w:val="bul1"/>
              <w:numPr>
                <w:ilvl w:val="0"/>
                <w:numId w:val="8"/>
              </w:numPr>
              <w:spacing w:before="120" w:after="120" w:line="280" w:lineRule="exact"/>
              <w:contextualSpacing/>
              <w:rPr>
                <w:szCs w:val="18"/>
                <w:lang w:val="en-US"/>
              </w:rPr>
            </w:pPr>
            <w:r w:rsidRPr="0036129C">
              <w:rPr>
                <w:szCs w:val="18"/>
                <w:lang w:val="en-GB"/>
              </w:rPr>
              <w:t>Identify the commonly faced challenges with respect to cooperating directly with multinational service providers</w:t>
            </w:r>
          </w:p>
        </w:tc>
      </w:tr>
      <w:tr w:rsidR="003406F3" w:rsidRPr="003406F3" w14:paraId="03110757" w14:textId="77777777" w:rsidTr="00F813A3">
        <w:trPr>
          <w:trHeight w:val="530"/>
        </w:trPr>
        <w:tc>
          <w:tcPr>
            <w:tcW w:w="9010" w:type="dxa"/>
            <w:gridSpan w:val="3"/>
            <w:tcBorders>
              <w:bottom w:val="single" w:sz="4" w:space="0" w:color="auto"/>
            </w:tcBorders>
            <w:vAlign w:val="center"/>
          </w:tcPr>
          <w:p w14:paraId="7A064E85" w14:textId="1EE254E2" w:rsidR="005703B7" w:rsidRPr="003406F3" w:rsidRDefault="00E95703" w:rsidP="00F62A15">
            <w:pPr>
              <w:spacing w:before="120" w:after="120" w:line="280" w:lineRule="exact"/>
              <w:rPr>
                <w:rFonts w:ascii="Verdana" w:hAnsi="Verdana"/>
                <w:b/>
                <w:sz w:val="22"/>
                <w:szCs w:val="22"/>
              </w:rPr>
            </w:pPr>
            <w:r w:rsidRPr="003406F3">
              <w:rPr>
                <w:rFonts w:ascii="Verdana" w:hAnsi="Verdana"/>
                <w:b/>
                <w:sz w:val="22"/>
                <w:szCs w:val="22"/>
              </w:rPr>
              <w:t>Trainer Guidance</w:t>
            </w:r>
          </w:p>
          <w:p w14:paraId="5EFF4BEF" w14:textId="6DE6E977" w:rsidR="007B75A9" w:rsidRPr="003406F3" w:rsidRDefault="00F813A3" w:rsidP="00F813A3">
            <w:pPr>
              <w:spacing w:before="120" w:after="120" w:line="280" w:lineRule="exact"/>
              <w:jc w:val="both"/>
              <w:rPr>
                <w:rFonts w:ascii="Verdana" w:hAnsi="Verdana"/>
                <w:sz w:val="18"/>
                <w:szCs w:val="18"/>
              </w:rPr>
            </w:pPr>
            <w:r>
              <w:rPr>
                <w:rFonts w:ascii="Verdana" w:hAnsi="Verdana"/>
                <w:sz w:val="18"/>
                <w:szCs w:val="18"/>
              </w:rPr>
              <w:t xml:space="preserve">Public private cooperation is of utmost importance in the global battle against cybercrime. </w:t>
            </w:r>
            <w:r w:rsidR="00B569A5" w:rsidRPr="003406F3">
              <w:rPr>
                <w:rFonts w:ascii="Verdana" w:hAnsi="Verdana"/>
                <w:sz w:val="18"/>
                <w:szCs w:val="18"/>
              </w:rPr>
              <w:t>This session has been prepared</w:t>
            </w:r>
            <w:r>
              <w:rPr>
                <w:rFonts w:ascii="Verdana" w:hAnsi="Verdana"/>
                <w:sz w:val="18"/>
                <w:szCs w:val="18"/>
              </w:rPr>
              <w:t xml:space="preserve"> with a view</w:t>
            </w:r>
            <w:r w:rsidR="00B569A5" w:rsidRPr="003406F3">
              <w:rPr>
                <w:rFonts w:ascii="Verdana" w:hAnsi="Verdana"/>
                <w:sz w:val="18"/>
                <w:szCs w:val="18"/>
              </w:rPr>
              <w:t xml:space="preserve"> to provide delegates with a comprehensive understanding of </w:t>
            </w:r>
            <w:r w:rsidR="009A2F63">
              <w:rPr>
                <w:rFonts w:ascii="Verdana" w:hAnsi="Verdana"/>
                <w:sz w:val="18"/>
                <w:szCs w:val="18"/>
              </w:rPr>
              <w:t>public private cooperation, within both a domestic</w:t>
            </w:r>
            <w:r>
              <w:rPr>
                <w:rFonts w:ascii="Verdana" w:hAnsi="Verdana"/>
                <w:sz w:val="18"/>
                <w:szCs w:val="18"/>
              </w:rPr>
              <w:t xml:space="preserve"> and an international context. </w:t>
            </w:r>
            <w:r w:rsidR="0051122C">
              <w:rPr>
                <w:rFonts w:ascii="Verdana" w:hAnsi="Verdana"/>
                <w:sz w:val="18"/>
                <w:szCs w:val="18"/>
              </w:rPr>
              <w:t xml:space="preserve">This session has been divided into </w:t>
            </w:r>
            <w:r>
              <w:rPr>
                <w:rFonts w:ascii="Verdana" w:hAnsi="Verdana"/>
                <w:sz w:val="18"/>
                <w:szCs w:val="18"/>
              </w:rPr>
              <w:t xml:space="preserve">four </w:t>
            </w:r>
            <w:r w:rsidR="0051122C">
              <w:rPr>
                <w:rFonts w:ascii="Verdana" w:hAnsi="Verdana"/>
                <w:sz w:val="18"/>
                <w:szCs w:val="18"/>
              </w:rPr>
              <w:t xml:space="preserve">parts, in addition to </w:t>
            </w:r>
            <w:r w:rsidR="00B569A5" w:rsidRPr="003406F3">
              <w:rPr>
                <w:rFonts w:ascii="Verdana" w:hAnsi="Verdana"/>
                <w:sz w:val="18"/>
                <w:szCs w:val="18"/>
              </w:rPr>
              <w:t xml:space="preserve">an introduction and a conclusion. The first part </w:t>
            </w:r>
            <w:r w:rsidR="0051122C">
              <w:rPr>
                <w:rFonts w:ascii="Verdana" w:hAnsi="Verdana"/>
                <w:sz w:val="18"/>
                <w:szCs w:val="18"/>
              </w:rPr>
              <w:t xml:space="preserve">covers </w:t>
            </w:r>
            <w:r>
              <w:rPr>
                <w:rFonts w:ascii="Verdana" w:hAnsi="Verdana"/>
                <w:sz w:val="18"/>
                <w:szCs w:val="18"/>
              </w:rPr>
              <w:t>basic definitions of terms including cloud data as well as the challenges posed by cloud data to electronic evidence procedural laws</w:t>
            </w:r>
            <w:r w:rsidR="0051122C">
              <w:rPr>
                <w:rFonts w:ascii="Verdana" w:hAnsi="Verdana"/>
                <w:sz w:val="18"/>
                <w:szCs w:val="18"/>
              </w:rPr>
              <w:t xml:space="preserve">. </w:t>
            </w:r>
            <w:r w:rsidR="0094072C">
              <w:rPr>
                <w:rFonts w:ascii="Verdana" w:hAnsi="Verdana"/>
                <w:sz w:val="18"/>
                <w:szCs w:val="18"/>
              </w:rPr>
              <w:t xml:space="preserve">The second part </w:t>
            </w:r>
            <w:r>
              <w:rPr>
                <w:rFonts w:ascii="Verdana" w:hAnsi="Verdana"/>
                <w:sz w:val="18"/>
                <w:szCs w:val="18"/>
              </w:rPr>
              <w:t>deals with public private cooperation in a domestic context, including compulsory and voluntary cooperation. The third part covers public private cooperation in an international context, including compulsory cooperation, voluntary cooperation with legal mandate and voluntary cooperation without a legal mandate</w:t>
            </w:r>
            <w:r w:rsidR="0094072C">
              <w:rPr>
                <w:rFonts w:ascii="Verdana" w:hAnsi="Verdana"/>
                <w:sz w:val="18"/>
                <w:szCs w:val="18"/>
              </w:rPr>
              <w:t xml:space="preserve">. </w:t>
            </w:r>
            <w:r>
              <w:rPr>
                <w:rFonts w:ascii="Verdana" w:hAnsi="Verdana"/>
                <w:sz w:val="18"/>
                <w:szCs w:val="18"/>
              </w:rPr>
              <w:t xml:space="preserve">The fourth part contains case studies that have been </w:t>
            </w:r>
            <w:r>
              <w:rPr>
                <w:rFonts w:ascii="Verdana" w:hAnsi="Verdana"/>
                <w:sz w:val="18"/>
                <w:szCs w:val="18"/>
              </w:rPr>
              <w:lastRenderedPageBreak/>
              <w:t xml:space="preserve">prepared with a view to enable trainers to test the knowledge of the delegates acquired both in this module as well as previous modules on substantive law, procedural law and international cooperation.  </w:t>
            </w:r>
          </w:p>
        </w:tc>
      </w:tr>
      <w:tr w:rsidR="003406F3" w:rsidRPr="003406F3"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3406F3" w:rsidRDefault="005A4E47" w:rsidP="00CB3026">
            <w:pPr>
              <w:rPr>
                <w:rFonts w:ascii="Verdana" w:hAnsi="Verdana"/>
                <w:b/>
                <w:sz w:val="28"/>
                <w:szCs w:val="28"/>
              </w:rPr>
            </w:pPr>
            <w:r w:rsidRPr="003406F3">
              <w:rPr>
                <w:rFonts w:ascii="Verdana" w:hAnsi="Verdana"/>
                <w:b/>
                <w:sz w:val="28"/>
                <w:szCs w:val="28"/>
              </w:rPr>
              <w:lastRenderedPageBreak/>
              <w:t>Lesson Content</w:t>
            </w:r>
          </w:p>
        </w:tc>
      </w:tr>
      <w:tr w:rsidR="003406F3" w:rsidRPr="003406F3" w14:paraId="57CC7AA4" w14:textId="77777777" w:rsidTr="00CB3026">
        <w:trPr>
          <w:trHeight w:val="629"/>
        </w:trPr>
        <w:tc>
          <w:tcPr>
            <w:tcW w:w="1615" w:type="dxa"/>
            <w:shd w:val="clear" w:color="auto" w:fill="D9E2F3" w:themeFill="accent1" w:themeFillTint="33"/>
            <w:vAlign w:val="center"/>
          </w:tcPr>
          <w:p w14:paraId="4538C338" w14:textId="77777777" w:rsidR="00D82C18" w:rsidRPr="003406F3" w:rsidRDefault="00E13BE7" w:rsidP="00CB3026">
            <w:pPr>
              <w:jc w:val="center"/>
              <w:rPr>
                <w:rFonts w:ascii="Verdana" w:hAnsi="Verdana"/>
                <w:b/>
                <w:sz w:val="22"/>
                <w:szCs w:val="22"/>
              </w:rPr>
            </w:pPr>
            <w:r w:rsidRPr="003406F3">
              <w:rPr>
                <w:rFonts w:ascii="Verdana" w:hAnsi="Verdana"/>
                <w:b/>
                <w:sz w:val="22"/>
                <w:szCs w:val="22"/>
              </w:rPr>
              <w:t>Slide Numbers</w:t>
            </w:r>
          </w:p>
        </w:tc>
        <w:tc>
          <w:tcPr>
            <w:tcW w:w="7395" w:type="dxa"/>
            <w:gridSpan w:val="2"/>
            <w:shd w:val="clear" w:color="auto" w:fill="D9E2F3" w:themeFill="accent1" w:themeFillTint="33"/>
            <w:vAlign w:val="center"/>
          </w:tcPr>
          <w:p w14:paraId="2DA616FC" w14:textId="77777777" w:rsidR="00D82C18" w:rsidRPr="003406F3" w:rsidRDefault="00E13BE7">
            <w:pPr>
              <w:rPr>
                <w:rFonts w:ascii="Verdana" w:hAnsi="Verdana"/>
                <w:b/>
                <w:sz w:val="22"/>
                <w:szCs w:val="22"/>
              </w:rPr>
            </w:pPr>
            <w:r w:rsidRPr="003406F3">
              <w:rPr>
                <w:rFonts w:ascii="Verdana" w:hAnsi="Verdana"/>
                <w:b/>
                <w:sz w:val="22"/>
                <w:szCs w:val="22"/>
              </w:rPr>
              <w:t>Content</w:t>
            </w:r>
          </w:p>
        </w:tc>
      </w:tr>
      <w:tr w:rsidR="003406F3" w:rsidRPr="003406F3" w14:paraId="11A12D7E" w14:textId="77777777" w:rsidTr="00DB09DC">
        <w:trPr>
          <w:trHeight w:val="530"/>
        </w:trPr>
        <w:tc>
          <w:tcPr>
            <w:tcW w:w="1615" w:type="dxa"/>
            <w:vAlign w:val="center"/>
          </w:tcPr>
          <w:p w14:paraId="5A89CF27" w14:textId="3D54ED1A" w:rsidR="00D82C18" w:rsidRPr="003406F3" w:rsidRDefault="003630ED" w:rsidP="00A53D26">
            <w:pPr>
              <w:spacing w:before="120" w:after="120" w:line="280" w:lineRule="exact"/>
              <w:jc w:val="center"/>
              <w:rPr>
                <w:rFonts w:ascii="Verdana" w:hAnsi="Verdana"/>
                <w:sz w:val="18"/>
                <w:szCs w:val="18"/>
              </w:rPr>
            </w:pPr>
            <w:r w:rsidRPr="003406F3">
              <w:rPr>
                <w:rFonts w:ascii="Verdana" w:hAnsi="Verdana"/>
                <w:sz w:val="18"/>
                <w:szCs w:val="18"/>
              </w:rPr>
              <w:t xml:space="preserve">1 to </w:t>
            </w:r>
            <w:r w:rsidR="00A53D26">
              <w:rPr>
                <w:rFonts w:ascii="Verdana" w:hAnsi="Verdana"/>
                <w:sz w:val="18"/>
                <w:szCs w:val="18"/>
              </w:rPr>
              <w:t>5</w:t>
            </w:r>
          </w:p>
        </w:tc>
        <w:tc>
          <w:tcPr>
            <w:tcW w:w="7395" w:type="dxa"/>
            <w:gridSpan w:val="2"/>
            <w:vAlign w:val="center"/>
          </w:tcPr>
          <w:p w14:paraId="36345B59" w14:textId="281A5A31" w:rsidR="003630ED" w:rsidRPr="003406F3" w:rsidRDefault="00DB09DC" w:rsidP="00AF62EC">
            <w:pPr>
              <w:tabs>
                <w:tab w:val="left" w:pos="426"/>
                <w:tab w:val="left" w:pos="851"/>
              </w:tabs>
              <w:spacing w:before="120" w:after="120" w:line="280" w:lineRule="exact"/>
              <w:jc w:val="both"/>
              <w:rPr>
                <w:rFonts w:ascii="Verdana" w:hAnsi="Verdana"/>
                <w:sz w:val="18"/>
                <w:szCs w:val="18"/>
              </w:rPr>
            </w:pPr>
            <w:r w:rsidRPr="003406F3">
              <w:rPr>
                <w:rFonts w:ascii="Verdana" w:eastAsia="Times New Roman" w:hAnsi="Verdana" w:cs="Times New Roman"/>
                <w:sz w:val="18"/>
                <w:szCs w:val="18"/>
              </w:rPr>
              <w:t>The first slides lay out the structure and ob</w:t>
            </w:r>
            <w:bookmarkStart w:id="0" w:name="_GoBack"/>
            <w:bookmarkEnd w:id="0"/>
            <w:r w:rsidRPr="003406F3">
              <w:rPr>
                <w:rFonts w:ascii="Verdana" w:eastAsia="Times New Roman" w:hAnsi="Verdana" w:cs="Times New Roman"/>
                <w:sz w:val="18"/>
                <w:szCs w:val="18"/>
              </w:rPr>
              <w:t>jectives of this session. Delegates will be given an opportunity to ask any preliminary questions that they may have regarding the structure and objectives of the session.</w:t>
            </w:r>
          </w:p>
        </w:tc>
      </w:tr>
      <w:tr w:rsidR="003406F3" w:rsidRPr="003406F3" w14:paraId="65F07CB5" w14:textId="77777777" w:rsidTr="00CF0C7C">
        <w:trPr>
          <w:trHeight w:val="1241"/>
        </w:trPr>
        <w:tc>
          <w:tcPr>
            <w:tcW w:w="1615" w:type="dxa"/>
            <w:vAlign w:val="center"/>
          </w:tcPr>
          <w:p w14:paraId="6F5AEB2D" w14:textId="20628FFA" w:rsidR="00D82C18" w:rsidRPr="003406F3" w:rsidRDefault="00A53D26" w:rsidP="00A53D26">
            <w:pPr>
              <w:jc w:val="center"/>
              <w:rPr>
                <w:rFonts w:ascii="Verdana" w:hAnsi="Verdana"/>
                <w:sz w:val="18"/>
                <w:szCs w:val="18"/>
              </w:rPr>
            </w:pPr>
            <w:r>
              <w:rPr>
                <w:rFonts w:ascii="Verdana" w:hAnsi="Verdana"/>
                <w:sz w:val="18"/>
                <w:szCs w:val="18"/>
              </w:rPr>
              <w:t>6</w:t>
            </w:r>
            <w:r w:rsidR="0036129C">
              <w:rPr>
                <w:rFonts w:ascii="Verdana" w:hAnsi="Verdana"/>
                <w:sz w:val="18"/>
                <w:szCs w:val="18"/>
              </w:rPr>
              <w:t xml:space="preserve"> to 1</w:t>
            </w:r>
            <w:r>
              <w:rPr>
                <w:rFonts w:ascii="Verdana" w:hAnsi="Verdana"/>
                <w:sz w:val="18"/>
                <w:szCs w:val="18"/>
              </w:rPr>
              <w:t>7</w:t>
            </w:r>
          </w:p>
        </w:tc>
        <w:tc>
          <w:tcPr>
            <w:tcW w:w="7395" w:type="dxa"/>
            <w:gridSpan w:val="2"/>
            <w:vAlign w:val="center"/>
          </w:tcPr>
          <w:p w14:paraId="649FEA68" w14:textId="5D8D3392" w:rsidR="003406F3" w:rsidRPr="003406F3" w:rsidRDefault="0036129C" w:rsidP="0079197D">
            <w:pPr>
              <w:pStyle w:val="Subtitle"/>
              <w:spacing w:beforeLines="20" w:before="48" w:afterLines="120" w:after="288" w:line="280" w:lineRule="exact"/>
              <w:rPr>
                <w:rFonts w:ascii="Verdana" w:hAnsi="Verdana"/>
                <w:szCs w:val="18"/>
              </w:rPr>
            </w:pPr>
            <w:r>
              <w:rPr>
                <w:rFonts w:ascii="Verdana" w:hAnsi="Verdana"/>
                <w:szCs w:val="18"/>
              </w:rPr>
              <w:t>These slides introduce the delegates to some basic definitions that are pertinent to the remaining parts of the session.</w:t>
            </w:r>
            <w:r w:rsidR="0079197D">
              <w:rPr>
                <w:rFonts w:ascii="Verdana" w:hAnsi="Verdana"/>
                <w:szCs w:val="18"/>
              </w:rPr>
              <w:t xml:space="preserve"> Some terms that have been defined in this section have been covered in other modules, and the trainer may elect to skip the slides marked non-essential or briefly cover them. This section also introduces the delegates to the work of the Cloud Evidence Group.</w:t>
            </w:r>
          </w:p>
        </w:tc>
      </w:tr>
      <w:tr w:rsidR="003406F3" w:rsidRPr="003406F3" w14:paraId="3236CF7B" w14:textId="77777777" w:rsidTr="001B428D">
        <w:trPr>
          <w:trHeight w:val="2015"/>
        </w:trPr>
        <w:tc>
          <w:tcPr>
            <w:tcW w:w="1615" w:type="dxa"/>
            <w:vAlign w:val="center"/>
          </w:tcPr>
          <w:p w14:paraId="63F93ACC" w14:textId="7F297766" w:rsidR="00A00A58" w:rsidRPr="003406F3" w:rsidRDefault="0079197D" w:rsidP="003F6045">
            <w:pPr>
              <w:jc w:val="center"/>
              <w:rPr>
                <w:rFonts w:ascii="Verdana" w:hAnsi="Verdana"/>
                <w:sz w:val="18"/>
                <w:szCs w:val="18"/>
              </w:rPr>
            </w:pPr>
            <w:r>
              <w:rPr>
                <w:rFonts w:ascii="Verdana" w:hAnsi="Verdana"/>
                <w:sz w:val="18"/>
                <w:szCs w:val="18"/>
              </w:rPr>
              <w:t>1</w:t>
            </w:r>
            <w:r w:rsidR="00A53D26">
              <w:rPr>
                <w:rFonts w:ascii="Verdana" w:hAnsi="Verdana"/>
                <w:sz w:val="18"/>
                <w:szCs w:val="18"/>
              </w:rPr>
              <w:t>8</w:t>
            </w:r>
            <w:r>
              <w:rPr>
                <w:rFonts w:ascii="Verdana" w:hAnsi="Verdana"/>
                <w:sz w:val="18"/>
                <w:szCs w:val="18"/>
              </w:rPr>
              <w:t xml:space="preserve"> to </w:t>
            </w:r>
            <w:r w:rsidR="003F6045">
              <w:rPr>
                <w:rFonts w:ascii="Verdana" w:hAnsi="Verdana"/>
                <w:sz w:val="18"/>
                <w:szCs w:val="18"/>
              </w:rPr>
              <w:t>40</w:t>
            </w:r>
          </w:p>
        </w:tc>
        <w:tc>
          <w:tcPr>
            <w:tcW w:w="7395" w:type="dxa"/>
            <w:gridSpan w:val="2"/>
            <w:vAlign w:val="center"/>
          </w:tcPr>
          <w:p w14:paraId="6B518A62" w14:textId="2963706C" w:rsidR="0033609D" w:rsidRPr="003406F3" w:rsidRDefault="0079197D" w:rsidP="007F2601">
            <w:pPr>
              <w:spacing w:before="120" w:after="120" w:line="280" w:lineRule="exact"/>
              <w:jc w:val="both"/>
              <w:rPr>
                <w:rFonts w:ascii="Verdana" w:hAnsi="Verdana"/>
                <w:sz w:val="18"/>
                <w:szCs w:val="18"/>
              </w:rPr>
            </w:pPr>
            <w:r>
              <w:rPr>
                <w:rFonts w:ascii="Verdana" w:hAnsi="Verdana"/>
                <w:sz w:val="18"/>
                <w:szCs w:val="18"/>
              </w:rPr>
              <w:t xml:space="preserve">These slides </w:t>
            </w:r>
            <w:r w:rsidR="0033609D">
              <w:rPr>
                <w:rFonts w:ascii="Verdana" w:hAnsi="Verdana"/>
                <w:sz w:val="18"/>
                <w:szCs w:val="18"/>
              </w:rPr>
              <w:t>cover cooperation between the public and private sectors in a domestic context</w:t>
            </w:r>
            <w:r w:rsidR="007F2601">
              <w:rPr>
                <w:rFonts w:ascii="Verdana" w:hAnsi="Verdana"/>
                <w:sz w:val="18"/>
                <w:szCs w:val="18"/>
              </w:rPr>
              <w:t>, compulsory and voluntary</w:t>
            </w:r>
            <w:r w:rsidR="0033609D">
              <w:rPr>
                <w:rFonts w:ascii="Verdana" w:hAnsi="Verdana"/>
                <w:sz w:val="18"/>
                <w:szCs w:val="18"/>
              </w:rPr>
              <w:t xml:space="preserve">. A brief explanation of domestic legislation that enables such cooperation is recommended, with examples of how such procedural powers can be exercised with respect to a domestic service provider. </w:t>
            </w:r>
            <w:r w:rsidR="007F2601">
              <w:rPr>
                <w:rFonts w:ascii="Verdana" w:hAnsi="Verdana"/>
                <w:sz w:val="18"/>
                <w:szCs w:val="18"/>
              </w:rPr>
              <w:t xml:space="preserve">The trainer is also expected to discuss examples, if any, of memorandums of understanding or formal agreements between private sector bodies and public sector agencies with respect to cooperation in matters relating to cybercrime and electronic evidence. </w:t>
            </w:r>
            <w:r w:rsidR="0033609D">
              <w:rPr>
                <w:rFonts w:ascii="Verdana" w:hAnsi="Verdana"/>
                <w:sz w:val="18"/>
                <w:szCs w:val="18"/>
              </w:rPr>
              <w:t xml:space="preserve">The trainer </w:t>
            </w:r>
            <w:r w:rsidR="007F2601">
              <w:rPr>
                <w:rFonts w:ascii="Verdana" w:hAnsi="Verdana"/>
                <w:sz w:val="18"/>
                <w:szCs w:val="18"/>
              </w:rPr>
              <w:t xml:space="preserve">should </w:t>
            </w:r>
            <w:r w:rsidR="0033609D">
              <w:rPr>
                <w:rFonts w:ascii="Verdana" w:hAnsi="Verdana"/>
                <w:sz w:val="18"/>
                <w:szCs w:val="18"/>
              </w:rPr>
              <w:t xml:space="preserve">clarify to the delegates that all the domestic procedural powers </w:t>
            </w:r>
            <w:r w:rsidR="007F2601">
              <w:rPr>
                <w:rFonts w:ascii="Verdana" w:hAnsi="Verdana"/>
                <w:sz w:val="18"/>
                <w:szCs w:val="18"/>
              </w:rPr>
              <w:t xml:space="preserve">apply to cloud data. </w:t>
            </w:r>
          </w:p>
        </w:tc>
      </w:tr>
      <w:tr w:rsidR="003406F3" w:rsidRPr="003406F3" w14:paraId="5AA3C4AD" w14:textId="77777777" w:rsidTr="000509A6">
        <w:trPr>
          <w:trHeight w:val="557"/>
        </w:trPr>
        <w:tc>
          <w:tcPr>
            <w:tcW w:w="1615" w:type="dxa"/>
            <w:vAlign w:val="center"/>
          </w:tcPr>
          <w:p w14:paraId="07F9F799" w14:textId="6529834F" w:rsidR="00A00A58" w:rsidRPr="003406F3" w:rsidRDefault="007F2601" w:rsidP="003F6045">
            <w:pPr>
              <w:jc w:val="center"/>
              <w:rPr>
                <w:rFonts w:ascii="Verdana" w:hAnsi="Verdana"/>
                <w:sz w:val="18"/>
                <w:szCs w:val="18"/>
              </w:rPr>
            </w:pPr>
            <w:r>
              <w:rPr>
                <w:rFonts w:ascii="Verdana" w:hAnsi="Verdana"/>
                <w:sz w:val="18"/>
                <w:szCs w:val="18"/>
              </w:rPr>
              <w:t>4</w:t>
            </w:r>
            <w:r w:rsidR="003F6045">
              <w:rPr>
                <w:rFonts w:ascii="Verdana" w:hAnsi="Verdana"/>
                <w:sz w:val="18"/>
                <w:szCs w:val="18"/>
              </w:rPr>
              <w:t>1</w:t>
            </w:r>
            <w:r>
              <w:rPr>
                <w:rFonts w:ascii="Verdana" w:hAnsi="Verdana"/>
                <w:sz w:val="18"/>
                <w:szCs w:val="18"/>
              </w:rPr>
              <w:t xml:space="preserve"> to 72</w:t>
            </w:r>
          </w:p>
        </w:tc>
        <w:tc>
          <w:tcPr>
            <w:tcW w:w="7395" w:type="dxa"/>
            <w:gridSpan w:val="2"/>
            <w:vAlign w:val="center"/>
          </w:tcPr>
          <w:p w14:paraId="604875A9" w14:textId="77777777" w:rsidR="00A9431E" w:rsidRDefault="00A9431E" w:rsidP="00A9431E">
            <w:pPr>
              <w:spacing w:before="120" w:after="120" w:line="280" w:lineRule="exact"/>
              <w:jc w:val="both"/>
              <w:rPr>
                <w:rFonts w:ascii="Verdana" w:hAnsi="Verdana"/>
                <w:sz w:val="18"/>
                <w:szCs w:val="18"/>
              </w:rPr>
            </w:pPr>
            <w:r>
              <w:rPr>
                <w:rFonts w:ascii="Verdana" w:hAnsi="Verdana"/>
                <w:sz w:val="18"/>
                <w:szCs w:val="18"/>
              </w:rPr>
              <w:t xml:space="preserve">These slides cover cooperation between public and private sectors in an international context. This part of the module deals with three levels of cooperation; namely compulsory cooperation with legal mandate, voluntary cooperation with legal mandate, and voluntary cooperation regardless of legal mandate. The slides deal with each level of cooperation individually. </w:t>
            </w:r>
          </w:p>
          <w:p w14:paraId="5A7CC07D" w14:textId="77777777" w:rsidR="000509A6" w:rsidRDefault="00A9431E" w:rsidP="009A2F63">
            <w:pPr>
              <w:spacing w:before="120" w:after="120" w:line="280" w:lineRule="exact"/>
              <w:jc w:val="both"/>
              <w:rPr>
                <w:rFonts w:ascii="Verdana" w:hAnsi="Verdana"/>
                <w:sz w:val="18"/>
                <w:szCs w:val="18"/>
              </w:rPr>
            </w:pPr>
            <w:r>
              <w:rPr>
                <w:rFonts w:ascii="Verdana" w:hAnsi="Verdana"/>
                <w:sz w:val="18"/>
                <w:szCs w:val="18"/>
              </w:rPr>
              <w:t>With respect to compulsory cooperation, the trainer is expected to explain how formal international cooperation channels enable the public sector of one country to mandate cooperation of another country’s private sector service provider by requesting that second country to exercise procedural powers mandating cooperation from its private sector service provider.</w:t>
            </w:r>
            <w:r w:rsidR="009A2F63">
              <w:rPr>
                <w:rFonts w:ascii="Verdana" w:hAnsi="Verdana"/>
                <w:sz w:val="18"/>
                <w:szCs w:val="18"/>
              </w:rPr>
              <w:t xml:space="preserve"> The trainer should also reiterate the extraterritorial application of production orders, and how they may enable seeking compulsory cooperation from foreign service providers operating within the territory, with respect to specified subscriber information in the possession or control of such service provider. </w:t>
            </w:r>
            <w:r>
              <w:rPr>
                <w:rFonts w:ascii="Verdana" w:hAnsi="Verdana"/>
                <w:sz w:val="18"/>
                <w:szCs w:val="18"/>
              </w:rPr>
              <w:t xml:space="preserve"> </w:t>
            </w:r>
          </w:p>
          <w:p w14:paraId="049F636A" w14:textId="4DF9EE2A" w:rsidR="003F6045" w:rsidRDefault="00A9431E" w:rsidP="009A2F63">
            <w:pPr>
              <w:spacing w:before="120" w:after="120" w:line="280" w:lineRule="exact"/>
              <w:jc w:val="both"/>
              <w:rPr>
                <w:rFonts w:ascii="Verdana" w:hAnsi="Verdana"/>
                <w:sz w:val="18"/>
                <w:szCs w:val="18"/>
              </w:rPr>
            </w:pPr>
            <w:r>
              <w:rPr>
                <w:rFonts w:ascii="Verdana" w:hAnsi="Verdana"/>
                <w:sz w:val="18"/>
                <w:szCs w:val="18"/>
              </w:rPr>
              <w:t xml:space="preserve">With respect to voluntary cooperation with legal mandates, the trainer is to </w:t>
            </w:r>
            <w:r w:rsidR="009A2F63">
              <w:rPr>
                <w:rFonts w:ascii="Verdana" w:hAnsi="Verdana"/>
                <w:sz w:val="18"/>
                <w:szCs w:val="18"/>
              </w:rPr>
              <w:t xml:space="preserve">focus on Article 32 of the Budapest Convention, which enables direct </w:t>
            </w:r>
            <w:proofErr w:type="spellStart"/>
            <w:r w:rsidR="009A2F63">
              <w:rPr>
                <w:rFonts w:ascii="Verdana" w:hAnsi="Verdana"/>
                <w:sz w:val="18"/>
                <w:szCs w:val="18"/>
              </w:rPr>
              <w:t>transborder</w:t>
            </w:r>
            <w:proofErr w:type="spellEnd"/>
            <w:r w:rsidR="009A2F63">
              <w:rPr>
                <w:rFonts w:ascii="Verdana" w:hAnsi="Verdana"/>
                <w:sz w:val="18"/>
                <w:szCs w:val="18"/>
              </w:rPr>
              <w:t xml:space="preserve"> access to stored computer data with consent or where publicly available. </w:t>
            </w:r>
            <w:r w:rsidR="003F6045">
              <w:rPr>
                <w:rFonts w:ascii="Verdana" w:hAnsi="Verdana"/>
                <w:sz w:val="18"/>
                <w:szCs w:val="18"/>
              </w:rPr>
              <w:t xml:space="preserve">This </w:t>
            </w:r>
            <w:r w:rsidR="000509A6">
              <w:rPr>
                <w:rFonts w:ascii="Verdana" w:hAnsi="Verdana"/>
                <w:sz w:val="18"/>
                <w:szCs w:val="18"/>
              </w:rPr>
              <w:t>section has been already dealt with in the same details under the Module on International Cooperation (1.4.1), so the trainer can decide to use the slides just as a refresher, focusing only on salient aspects</w:t>
            </w:r>
            <w:r w:rsidR="007C58CF">
              <w:rPr>
                <w:rFonts w:ascii="Verdana" w:hAnsi="Verdana"/>
                <w:sz w:val="18"/>
                <w:szCs w:val="18"/>
              </w:rPr>
              <w:t xml:space="preserve"> that may arise</w:t>
            </w:r>
            <w:r w:rsidR="000509A6">
              <w:rPr>
                <w:rFonts w:ascii="Verdana" w:hAnsi="Verdana"/>
                <w:sz w:val="18"/>
                <w:szCs w:val="18"/>
              </w:rPr>
              <w:t xml:space="preserve"> in the collaboration with foreign service providers.</w:t>
            </w:r>
          </w:p>
          <w:p w14:paraId="1B9C6A39" w14:textId="71B59AB1" w:rsidR="009A2F63" w:rsidRPr="003406F3" w:rsidRDefault="009A2F63" w:rsidP="009A2F63">
            <w:pPr>
              <w:spacing w:before="120" w:after="120" w:line="280" w:lineRule="exact"/>
              <w:jc w:val="both"/>
              <w:rPr>
                <w:rFonts w:ascii="Verdana" w:hAnsi="Verdana"/>
                <w:sz w:val="18"/>
                <w:szCs w:val="18"/>
              </w:rPr>
            </w:pPr>
            <w:r>
              <w:rPr>
                <w:rFonts w:ascii="Verdana" w:hAnsi="Verdana"/>
                <w:sz w:val="18"/>
                <w:szCs w:val="18"/>
              </w:rPr>
              <w:t xml:space="preserve">Finally, these slides discuss mechanisms by which cooperation with foreign </w:t>
            </w:r>
            <w:r>
              <w:rPr>
                <w:rFonts w:ascii="Verdana" w:hAnsi="Verdana"/>
                <w:sz w:val="18"/>
                <w:szCs w:val="18"/>
              </w:rPr>
              <w:lastRenderedPageBreak/>
              <w:t xml:space="preserve">service providers can be undertaken without any legal mandate. This section covers processes adopted by some service providers for direct cooperation. </w:t>
            </w:r>
          </w:p>
        </w:tc>
      </w:tr>
      <w:tr w:rsidR="00DB09DC" w:rsidRPr="003406F3" w14:paraId="29253992" w14:textId="77777777" w:rsidTr="00FC677E">
        <w:trPr>
          <w:trHeight w:val="1340"/>
        </w:trPr>
        <w:tc>
          <w:tcPr>
            <w:tcW w:w="1615" w:type="dxa"/>
            <w:vAlign w:val="center"/>
          </w:tcPr>
          <w:p w14:paraId="7CB27A05" w14:textId="1DB15CA6" w:rsidR="00DB09DC" w:rsidRDefault="009A2F63" w:rsidP="000509A6">
            <w:pPr>
              <w:jc w:val="center"/>
              <w:rPr>
                <w:rFonts w:ascii="Verdana" w:hAnsi="Verdana"/>
                <w:sz w:val="18"/>
                <w:szCs w:val="18"/>
              </w:rPr>
            </w:pPr>
            <w:r>
              <w:rPr>
                <w:rFonts w:ascii="Verdana" w:hAnsi="Verdana"/>
                <w:sz w:val="18"/>
                <w:szCs w:val="18"/>
              </w:rPr>
              <w:lastRenderedPageBreak/>
              <w:t>7</w:t>
            </w:r>
            <w:r w:rsidR="000509A6">
              <w:rPr>
                <w:rFonts w:ascii="Verdana" w:hAnsi="Verdana"/>
                <w:sz w:val="18"/>
                <w:szCs w:val="18"/>
              </w:rPr>
              <w:t>4</w:t>
            </w:r>
            <w:r>
              <w:rPr>
                <w:rFonts w:ascii="Verdana" w:hAnsi="Verdana"/>
                <w:sz w:val="18"/>
                <w:szCs w:val="18"/>
              </w:rPr>
              <w:t xml:space="preserve"> to 8</w:t>
            </w:r>
            <w:r w:rsidR="000509A6">
              <w:rPr>
                <w:rFonts w:ascii="Verdana" w:hAnsi="Verdana"/>
                <w:sz w:val="18"/>
                <w:szCs w:val="18"/>
              </w:rPr>
              <w:t>3</w:t>
            </w:r>
          </w:p>
        </w:tc>
        <w:tc>
          <w:tcPr>
            <w:tcW w:w="7395" w:type="dxa"/>
            <w:gridSpan w:val="2"/>
            <w:vAlign w:val="center"/>
          </w:tcPr>
          <w:p w14:paraId="660000A2" w14:textId="0F26080E" w:rsidR="00DB09DC" w:rsidRDefault="009A2F63" w:rsidP="009A2F63">
            <w:pPr>
              <w:spacing w:before="120" w:after="120" w:line="280" w:lineRule="exact"/>
              <w:jc w:val="both"/>
              <w:rPr>
                <w:rFonts w:ascii="Verdana" w:eastAsia="Times New Roman" w:hAnsi="Verdana" w:cs="Times New Roman"/>
                <w:sz w:val="18"/>
                <w:szCs w:val="18"/>
              </w:rPr>
            </w:pPr>
            <w:r>
              <w:rPr>
                <w:rFonts w:ascii="Verdana" w:eastAsia="Times New Roman" w:hAnsi="Verdana" w:cs="Times New Roman"/>
                <w:sz w:val="18"/>
                <w:szCs w:val="18"/>
              </w:rPr>
              <w:t>These slides list considerations that need to be taken into account when cooperating with foreign service providers. It is expected that the trainer will take delegates through these considerations in a manner that will highlight the role of the delegates in ensuring effective cooperation with such service providers.</w:t>
            </w:r>
          </w:p>
        </w:tc>
      </w:tr>
      <w:tr w:rsidR="009A2F63" w:rsidRPr="003406F3" w14:paraId="0951A486" w14:textId="77777777" w:rsidTr="00FC677E">
        <w:trPr>
          <w:trHeight w:val="1340"/>
        </w:trPr>
        <w:tc>
          <w:tcPr>
            <w:tcW w:w="1615" w:type="dxa"/>
            <w:vAlign w:val="center"/>
          </w:tcPr>
          <w:p w14:paraId="5D758CF8" w14:textId="7626E9DE" w:rsidR="009A2F63" w:rsidRDefault="009A2F63" w:rsidP="007C58CF">
            <w:pPr>
              <w:jc w:val="center"/>
              <w:rPr>
                <w:rFonts w:ascii="Verdana" w:hAnsi="Verdana"/>
                <w:sz w:val="18"/>
                <w:szCs w:val="18"/>
              </w:rPr>
            </w:pPr>
            <w:r>
              <w:rPr>
                <w:rFonts w:ascii="Verdana" w:hAnsi="Verdana"/>
                <w:sz w:val="18"/>
                <w:szCs w:val="18"/>
              </w:rPr>
              <w:t>8</w:t>
            </w:r>
            <w:r w:rsidR="007C58CF">
              <w:rPr>
                <w:rFonts w:ascii="Verdana" w:hAnsi="Verdana"/>
                <w:sz w:val="18"/>
                <w:szCs w:val="18"/>
              </w:rPr>
              <w:t>4</w:t>
            </w:r>
            <w:r>
              <w:rPr>
                <w:rFonts w:ascii="Verdana" w:hAnsi="Verdana"/>
                <w:sz w:val="18"/>
                <w:szCs w:val="18"/>
              </w:rPr>
              <w:t xml:space="preserve"> to 10</w:t>
            </w:r>
            <w:r w:rsidR="007C58CF">
              <w:rPr>
                <w:rFonts w:ascii="Verdana" w:hAnsi="Verdana"/>
                <w:sz w:val="18"/>
                <w:szCs w:val="18"/>
              </w:rPr>
              <w:t>3</w:t>
            </w:r>
          </w:p>
        </w:tc>
        <w:tc>
          <w:tcPr>
            <w:tcW w:w="7395" w:type="dxa"/>
            <w:gridSpan w:val="2"/>
            <w:vAlign w:val="center"/>
          </w:tcPr>
          <w:p w14:paraId="01ADF30B" w14:textId="620E5C25" w:rsidR="009A2F63" w:rsidRDefault="009A2F63" w:rsidP="009A2F63">
            <w:pPr>
              <w:spacing w:before="120" w:after="120" w:line="280" w:lineRule="exact"/>
              <w:jc w:val="both"/>
              <w:rPr>
                <w:rFonts w:ascii="Verdana" w:eastAsia="Times New Roman" w:hAnsi="Verdana" w:cs="Times New Roman"/>
                <w:sz w:val="18"/>
                <w:szCs w:val="18"/>
              </w:rPr>
            </w:pPr>
            <w:r>
              <w:rPr>
                <w:rFonts w:ascii="Verdana" w:eastAsia="Times New Roman" w:hAnsi="Verdana" w:cs="Times New Roman"/>
                <w:sz w:val="18"/>
                <w:szCs w:val="18"/>
              </w:rPr>
              <w:t>These slides contain individual case studies. Each case study consists of brief facts relating to the materials covered in the session. The trainer should first read out the facts of a case study, and then give the delegates an opportunity to propose answers. The trainer may need to step in and guide the delegates regarding possible answers. The trainer should ensure that this part of the session is interactive as it will give the trainer an opportunity to gauge whether the training was effective.</w:t>
            </w:r>
          </w:p>
        </w:tc>
      </w:tr>
      <w:tr w:rsidR="003406F3" w:rsidRPr="003406F3" w14:paraId="07D9F9A7" w14:textId="77777777" w:rsidTr="00FC677E">
        <w:trPr>
          <w:trHeight w:val="1340"/>
        </w:trPr>
        <w:tc>
          <w:tcPr>
            <w:tcW w:w="1615" w:type="dxa"/>
            <w:vAlign w:val="center"/>
          </w:tcPr>
          <w:p w14:paraId="0F0112E8" w14:textId="5D5BF9CF" w:rsidR="00A00A58" w:rsidRPr="003406F3" w:rsidRDefault="009A2F63" w:rsidP="007C58CF">
            <w:pPr>
              <w:jc w:val="center"/>
              <w:rPr>
                <w:rFonts w:ascii="Verdana" w:hAnsi="Verdana"/>
                <w:sz w:val="18"/>
                <w:szCs w:val="18"/>
              </w:rPr>
            </w:pPr>
            <w:r>
              <w:rPr>
                <w:rFonts w:ascii="Verdana" w:hAnsi="Verdana"/>
                <w:sz w:val="18"/>
                <w:szCs w:val="18"/>
              </w:rPr>
              <w:t>10</w:t>
            </w:r>
            <w:r w:rsidR="007C58CF">
              <w:rPr>
                <w:rFonts w:ascii="Verdana" w:hAnsi="Verdana"/>
                <w:sz w:val="18"/>
                <w:szCs w:val="18"/>
              </w:rPr>
              <w:t>4</w:t>
            </w:r>
            <w:r>
              <w:rPr>
                <w:rFonts w:ascii="Verdana" w:hAnsi="Verdana"/>
                <w:sz w:val="18"/>
                <w:szCs w:val="18"/>
              </w:rPr>
              <w:t xml:space="preserve"> to 10</w:t>
            </w:r>
            <w:r w:rsidR="007C58CF">
              <w:rPr>
                <w:rFonts w:ascii="Verdana" w:hAnsi="Verdana"/>
                <w:sz w:val="18"/>
                <w:szCs w:val="18"/>
              </w:rPr>
              <w:t>7</w:t>
            </w:r>
          </w:p>
        </w:tc>
        <w:tc>
          <w:tcPr>
            <w:tcW w:w="7395" w:type="dxa"/>
            <w:gridSpan w:val="2"/>
            <w:vAlign w:val="center"/>
          </w:tcPr>
          <w:p w14:paraId="373F061B" w14:textId="67C52077" w:rsidR="00A00A58" w:rsidRPr="003406F3" w:rsidRDefault="00FC677E" w:rsidP="00B468A3">
            <w:pPr>
              <w:spacing w:before="120" w:after="120" w:line="280" w:lineRule="exact"/>
              <w:jc w:val="both"/>
              <w:rPr>
                <w:rFonts w:ascii="Verdana" w:hAnsi="Verdana"/>
                <w:i/>
                <w:sz w:val="18"/>
                <w:szCs w:val="18"/>
              </w:rPr>
            </w:pPr>
            <w:r>
              <w:rPr>
                <w:rFonts w:ascii="Verdana" w:eastAsia="Times New Roman" w:hAnsi="Verdana" w:cs="Times New Roman"/>
                <w:sz w:val="18"/>
                <w:szCs w:val="18"/>
              </w:rPr>
              <w:t>The trainer should recap the session objectives with the delegates</w:t>
            </w:r>
            <w:r w:rsidR="00B468A3">
              <w:rPr>
                <w:rFonts w:ascii="Verdana" w:eastAsia="Times New Roman" w:hAnsi="Verdana" w:cs="Times New Roman"/>
                <w:sz w:val="18"/>
                <w:szCs w:val="18"/>
              </w:rPr>
              <w:t xml:space="preserve"> and give them the opportunity to ask any questions relating to the materials covered in this module.</w:t>
            </w:r>
          </w:p>
        </w:tc>
      </w:tr>
      <w:tr w:rsidR="003406F3" w:rsidRPr="003406F3" w14:paraId="2ECF09B7" w14:textId="77777777" w:rsidTr="00CB3026">
        <w:trPr>
          <w:trHeight w:val="1412"/>
        </w:trPr>
        <w:tc>
          <w:tcPr>
            <w:tcW w:w="9010" w:type="dxa"/>
            <w:gridSpan w:val="3"/>
            <w:vAlign w:val="center"/>
          </w:tcPr>
          <w:p w14:paraId="55ED1F4B" w14:textId="77777777" w:rsidR="00CB3026" w:rsidRPr="003406F3" w:rsidRDefault="00CB3026" w:rsidP="00CB3026">
            <w:pPr>
              <w:spacing w:before="120" w:after="120" w:line="280" w:lineRule="exact"/>
              <w:rPr>
                <w:rFonts w:ascii="Verdana" w:hAnsi="Verdana"/>
                <w:b/>
                <w:sz w:val="22"/>
                <w:szCs w:val="22"/>
              </w:rPr>
            </w:pPr>
            <w:r w:rsidRPr="003406F3">
              <w:rPr>
                <w:rFonts w:ascii="Verdana" w:hAnsi="Verdana"/>
                <w:b/>
                <w:sz w:val="22"/>
                <w:szCs w:val="22"/>
              </w:rPr>
              <w:t>Practical Exercises</w:t>
            </w:r>
          </w:p>
          <w:p w14:paraId="04D65D89" w14:textId="6D5C4DD0" w:rsidR="00CB3026" w:rsidRPr="003406F3" w:rsidRDefault="00CB3026" w:rsidP="004639E3">
            <w:pPr>
              <w:spacing w:before="120" w:after="120" w:line="280" w:lineRule="exact"/>
              <w:rPr>
                <w:rFonts w:ascii="Verdana" w:hAnsi="Verdana"/>
                <w:sz w:val="18"/>
                <w:szCs w:val="18"/>
              </w:rPr>
            </w:pPr>
            <w:r w:rsidRPr="003406F3">
              <w:rPr>
                <w:rFonts w:ascii="Verdana" w:hAnsi="Verdana"/>
                <w:sz w:val="18"/>
                <w:szCs w:val="18"/>
              </w:rPr>
              <w:t>No practical exercises are envisaged in this lesson</w:t>
            </w:r>
            <w:r w:rsidR="004639E3" w:rsidRPr="003406F3">
              <w:rPr>
                <w:rFonts w:ascii="Verdana" w:hAnsi="Verdana"/>
                <w:sz w:val="18"/>
                <w:szCs w:val="18"/>
              </w:rPr>
              <w:t>.</w:t>
            </w:r>
          </w:p>
        </w:tc>
      </w:tr>
      <w:tr w:rsidR="003406F3" w:rsidRPr="003406F3" w14:paraId="603967A2" w14:textId="77777777" w:rsidTr="00801300">
        <w:tc>
          <w:tcPr>
            <w:tcW w:w="9010" w:type="dxa"/>
            <w:gridSpan w:val="3"/>
            <w:vAlign w:val="center"/>
          </w:tcPr>
          <w:p w14:paraId="57B48D1E" w14:textId="77777777" w:rsidR="00CB3026" w:rsidRPr="003406F3" w:rsidRDefault="00CB3026" w:rsidP="00CB3026">
            <w:pPr>
              <w:spacing w:before="120" w:after="120" w:line="280" w:lineRule="exact"/>
              <w:rPr>
                <w:rFonts w:ascii="Verdana" w:hAnsi="Verdana"/>
                <w:b/>
                <w:sz w:val="22"/>
                <w:szCs w:val="22"/>
              </w:rPr>
            </w:pPr>
            <w:r w:rsidRPr="003406F3">
              <w:rPr>
                <w:rFonts w:ascii="Verdana" w:hAnsi="Verdana"/>
                <w:b/>
                <w:sz w:val="22"/>
                <w:szCs w:val="22"/>
              </w:rPr>
              <w:t>Assessment/Knowledge Check</w:t>
            </w:r>
          </w:p>
          <w:p w14:paraId="4496975B" w14:textId="637D9668" w:rsidR="00CB3026" w:rsidRPr="003406F3" w:rsidRDefault="00B468A3" w:rsidP="00B468A3">
            <w:pPr>
              <w:spacing w:before="120" w:after="120" w:line="280" w:lineRule="exact"/>
              <w:jc w:val="both"/>
              <w:rPr>
                <w:rFonts w:ascii="Verdana" w:hAnsi="Verdana"/>
                <w:sz w:val="18"/>
                <w:szCs w:val="18"/>
              </w:rPr>
            </w:pPr>
            <w:r>
              <w:rPr>
                <w:rFonts w:ascii="Verdana" w:hAnsi="Verdana"/>
                <w:sz w:val="18"/>
                <w:szCs w:val="18"/>
              </w:rPr>
              <w:t>No formal assessment has been prepared for this session. The trainer is encouraged to check knowledge and understanding by asking relevant questions throughout the session.</w:t>
            </w:r>
            <w:r w:rsidR="009A2F63">
              <w:rPr>
                <w:rFonts w:ascii="Verdana" w:hAnsi="Verdana"/>
                <w:sz w:val="18"/>
                <w:szCs w:val="18"/>
              </w:rPr>
              <w:t xml:space="preserve"> The trainer should also use the case studies to gauge whether the objectives of the session were met.</w:t>
            </w:r>
          </w:p>
        </w:tc>
      </w:tr>
    </w:tbl>
    <w:p w14:paraId="15498912" w14:textId="77777777" w:rsidR="00D82C18" w:rsidRPr="003406F3" w:rsidRDefault="00D82C18">
      <w:pPr>
        <w:rPr>
          <w:rFonts w:ascii="Verdana" w:hAnsi="Verdana"/>
        </w:rPr>
      </w:pPr>
    </w:p>
    <w:sectPr w:rsidR="00D82C18" w:rsidRPr="003406F3"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94B7F"/>
    <w:multiLevelType w:val="hybridMultilevel"/>
    <w:tmpl w:val="2DDE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18"/>
    <w:rsid w:val="000509A6"/>
    <w:rsid w:val="00105DD4"/>
    <w:rsid w:val="00175ADE"/>
    <w:rsid w:val="00185B76"/>
    <w:rsid w:val="001B428D"/>
    <w:rsid w:val="001B5DAD"/>
    <w:rsid w:val="00271010"/>
    <w:rsid w:val="0027512B"/>
    <w:rsid w:val="002F375E"/>
    <w:rsid w:val="0033609D"/>
    <w:rsid w:val="003406F3"/>
    <w:rsid w:val="0036129C"/>
    <w:rsid w:val="003630ED"/>
    <w:rsid w:val="00397FEA"/>
    <w:rsid w:val="003E0EDB"/>
    <w:rsid w:val="003F6045"/>
    <w:rsid w:val="004639E3"/>
    <w:rsid w:val="0051122C"/>
    <w:rsid w:val="00534FB7"/>
    <w:rsid w:val="005703B7"/>
    <w:rsid w:val="00594B3F"/>
    <w:rsid w:val="005951B6"/>
    <w:rsid w:val="005A4E47"/>
    <w:rsid w:val="00620770"/>
    <w:rsid w:val="006B6864"/>
    <w:rsid w:val="006D7128"/>
    <w:rsid w:val="007169BB"/>
    <w:rsid w:val="00761BA4"/>
    <w:rsid w:val="0079197D"/>
    <w:rsid w:val="007B75A9"/>
    <w:rsid w:val="007C58CF"/>
    <w:rsid w:val="007F2601"/>
    <w:rsid w:val="00823B30"/>
    <w:rsid w:val="008E3FE7"/>
    <w:rsid w:val="009277BD"/>
    <w:rsid w:val="0094072C"/>
    <w:rsid w:val="009A2F63"/>
    <w:rsid w:val="00A00A58"/>
    <w:rsid w:val="00A03CF0"/>
    <w:rsid w:val="00A4110D"/>
    <w:rsid w:val="00A53D26"/>
    <w:rsid w:val="00A734A5"/>
    <w:rsid w:val="00A9431E"/>
    <w:rsid w:val="00AF62EC"/>
    <w:rsid w:val="00B03741"/>
    <w:rsid w:val="00B468A3"/>
    <w:rsid w:val="00B569A5"/>
    <w:rsid w:val="00B71D66"/>
    <w:rsid w:val="00BC08EF"/>
    <w:rsid w:val="00C541A2"/>
    <w:rsid w:val="00CB02C4"/>
    <w:rsid w:val="00CB3026"/>
    <w:rsid w:val="00CF0C7C"/>
    <w:rsid w:val="00D82C18"/>
    <w:rsid w:val="00D944B5"/>
    <w:rsid w:val="00DB09DC"/>
    <w:rsid w:val="00DD2408"/>
    <w:rsid w:val="00E13BE7"/>
    <w:rsid w:val="00E17E67"/>
    <w:rsid w:val="00E55549"/>
    <w:rsid w:val="00E7344B"/>
    <w:rsid w:val="00E95703"/>
    <w:rsid w:val="00F35B67"/>
    <w:rsid w:val="00F62A15"/>
    <w:rsid w:val="00F813A3"/>
    <w:rsid w:val="00FC67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7CF78"/>
  <w14:defaultImageDpi w14:val="32767"/>
  <w15:docId w15:val="{7A4CDF99-3D58-4D57-B09B-F293833C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1</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Microsoft account</cp:lastModifiedBy>
  <cp:revision>19</cp:revision>
  <dcterms:created xsi:type="dcterms:W3CDTF">2017-05-23T08:37:00Z</dcterms:created>
  <dcterms:modified xsi:type="dcterms:W3CDTF">2017-09-05T09:26:00Z</dcterms:modified>
</cp:coreProperties>
</file>