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7C56D" w14:textId="56059933" w:rsidR="00D82C18" w:rsidRPr="00617156" w:rsidRDefault="00617156" w:rsidP="00617156">
      <w:pPr>
        <w:rPr>
          <w:b/>
          <w:color w:val="806000" w:themeColor="accent4" w:themeShade="80"/>
          <w:sz w:val="22"/>
          <w:szCs w:val="22"/>
          <w:rFonts w:ascii="Verdana" w:hAnsi="Verdana"/>
        </w:rPr>
      </w:pPr>
      <w:r>
        <w:rPr>
          <w:sz w:val="28"/>
          <w:rFonts w:ascii="Verdana" w:hAnsi="Verdana"/>
        </w:rPr>
        <w:t xml:space="preserve">Mësimi 1.4 - </w:t>
      </w:r>
      <w:r>
        <w:rPr>
          <w:sz w:val="28"/>
          <w:color w:val="000000" w:themeColor="text1"/>
          <w:rFonts w:ascii="Verdana" w:hAnsi="Verdana"/>
        </w:rPr>
        <w:t xml:space="preserve">Teknologjia</w:t>
      </w:r>
      <w:r>
        <w:rPr>
          <w:sz w:val="28"/>
          <w:color w:val="000000" w:themeColor="text1"/>
          <w:rFonts w:ascii="Verdana" w:hAnsi="Verdana"/>
        </w:rPr>
        <w:t xml:space="preserve"> </w:t>
      </w:r>
    </w:p>
    <w:p w14:paraId="0A3DD02D" w14:textId="77777777" w:rsidR="00D82C18" w:rsidRPr="00D82C18" w:rsidRDefault="00D82C18">
      <w:pPr>
        <w:rPr>
          <w:rFonts w:ascii="Verdana" w:hAnsi="Verdana"/>
        </w:rPr>
      </w:pPr>
    </w:p>
    <w:tbl>
      <w:tblPr>
        <w:tblStyle w:val="TableGrid"/>
        <w:tblW w:w="0" w:type="auto"/>
        <w:tblLayout w:type="fixed"/>
        <w:tblLook w:val="04A0" w:firstRow="1" w:lastRow="0" w:firstColumn="1" w:lastColumn="0" w:noHBand="0" w:noVBand="1"/>
      </w:tblPr>
      <w:tblGrid>
        <w:gridCol w:w="1435"/>
        <w:gridCol w:w="5410"/>
        <w:gridCol w:w="2165"/>
      </w:tblGrid>
      <w:tr w:rsidR="005703B7" w:rsidRPr="00D82C18" w14:paraId="58A3485E" w14:textId="77777777" w:rsidTr="001F724F">
        <w:trPr>
          <w:trHeight w:val="899"/>
        </w:trPr>
        <w:tc>
          <w:tcPr>
            <w:tcW w:w="6845" w:type="dxa"/>
            <w:gridSpan w:val="2"/>
            <w:shd w:val="clear" w:color="auto" w:fill="DEEAF6" w:themeFill="accent5" w:themeFillTint="33"/>
            <w:vAlign w:val="center"/>
          </w:tcPr>
          <w:p w14:paraId="0067FF35" w14:textId="633C556D" w:rsidR="00D82C18" w:rsidRPr="00D82C18" w:rsidRDefault="00D82C18" w:rsidP="00617156">
            <w:pPr>
              <w:rPr>
                <w:sz w:val="22"/>
                <w:szCs w:val="22"/>
                <w:rFonts w:ascii="Verdana" w:hAnsi="Verdana"/>
              </w:rPr>
            </w:pPr>
            <w:r>
              <w:rPr>
                <w:sz w:val="22"/>
                <w:rFonts w:ascii="Verdana" w:hAnsi="Verdana"/>
              </w:rPr>
              <w:t xml:space="preserve">Mësimi 1.4 - </w:t>
            </w:r>
            <w:r>
              <w:rPr>
                <w:sz w:val="22"/>
                <w:color w:val="000000" w:themeColor="text1"/>
                <w:rFonts w:ascii="Verdana" w:hAnsi="Verdana"/>
              </w:rPr>
              <w:t xml:space="preserve">Teknologjia</w:t>
            </w:r>
          </w:p>
        </w:tc>
        <w:tc>
          <w:tcPr>
            <w:tcW w:w="2165" w:type="dxa"/>
            <w:shd w:val="clear" w:color="auto" w:fill="DEEAF6" w:themeFill="accent5" w:themeFillTint="33"/>
            <w:vAlign w:val="center"/>
          </w:tcPr>
          <w:p w14:paraId="30B631DA" w14:textId="787597E4" w:rsidR="00617156" w:rsidRPr="00D82C18" w:rsidRDefault="00D82C18" w:rsidP="00617156">
            <w:pPr>
              <w:rPr>
                <w:sz w:val="22"/>
                <w:szCs w:val="22"/>
                <w:rFonts w:ascii="Verdana" w:hAnsi="Verdana"/>
              </w:rPr>
            </w:pPr>
            <w:r>
              <w:rPr>
                <w:sz w:val="22"/>
                <w:rFonts w:ascii="Verdana" w:hAnsi="Verdana"/>
              </w:rPr>
              <w:t xml:space="preserve">Kohëzgjatja:</w:t>
            </w:r>
            <w:r>
              <w:rPr>
                <w:sz w:val="22"/>
                <w:rFonts w:ascii="Verdana" w:hAnsi="Verdana"/>
              </w:rPr>
              <w:t xml:space="preserve"> </w:t>
            </w:r>
            <w:r>
              <w:rPr>
                <w:sz w:val="22"/>
                <w:rFonts w:ascii="Verdana" w:hAnsi="Verdana"/>
              </w:rPr>
              <w:t xml:space="preserve">90 minuta</w:t>
            </w:r>
            <w:r>
              <w:rPr>
                <w:sz w:val="22"/>
                <w:rFonts w:ascii="Verdana" w:hAnsi="Verdana"/>
              </w:rPr>
              <w:t xml:space="preserve"> </w:t>
            </w:r>
          </w:p>
        </w:tc>
      </w:tr>
      <w:tr w:rsidR="00E7344B" w:rsidRPr="00D82C18" w14:paraId="7C1107AB" w14:textId="77777777" w:rsidTr="00D65E51">
        <w:trPr>
          <w:trHeight w:val="3400"/>
        </w:trPr>
        <w:tc>
          <w:tcPr>
            <w:tcW w:w="9010" w:type="dxa"/>
            <w:gridSpan w:val="3"/>
            <w:vAlign w:val="center"/>
          </w:tcPr>
          <w:p w14:paraId="0B1C3404" w14:textId="1225270C" w:rsidR="00E7344B" w:rsidRPr="00A03CF0" w:rsidRDefault="00E7344B" w:rsidP="00F62A15">
            <w:pPr>
              <w:spacing w:before="120" w:after="120" w:line="280" w:lineRule="exact"/>
              <w:rPr>
                <w:b/>
                <w:sz w:val="22"/>
                <w:szCs w:val="22"/>
                <w:rFonts w:ascii="Verdana" w:hAnsi="Verdana"/>
              </w:rPr>
            </w:pPr>
            <w:r>
              <w:rPr>
                <w:b/>
                <w:sz w:val="22"/>
                <w:rFonts w:ascii="Verdana" w:hAnsi="Verdana"/>
              </w:rPr>
              <w:t xml:space="preserve">Burimet e nevojshme:</w:t>
            </w:r>
            <w:r>
              <w:rPr>
                <w:b/>
                <w:sz w:val="22"/>
                <w:rFonts w:ascii="Verdana" w:hAnsi="Verdana"/>
              </w:rPr>
              <w:t xml:space="preserve"> </w:t>
            </w:r>
          </w:p>
          <w:p w14:paraId="3E3ADEA0" w14:textId="77777777"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PC/Laptop ngarkuar me versione softuerësh të pajtueshëm me materialet e përgatitura</w:t>
            </w:r>
          </w:p>
          <w:p w14:paraId="580FF491" w14:textId="77264819" w:rsidR="00617156" w:rsidRPr="00617156" w:rsidRDefault="00617156"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Prezantim në PowerPoint</w:t>
            </w:r>
          </w:p>
          <w:p w14:paraId="737B8760" w14:textId="272126F7"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Projektor dhe ekran për shfaqje</w:t>
            </w:r>
          </w:p>
          <w:p w14:paraId="65055340" w14:textId="6BAA99AC"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Qasje në internet (nëse ka)</w:t>
            </w:r>
          </w:p>
          <w:p w14:paraId="77D38996" w14:textId="0AD63C4C"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Dërrasë e bardhë</w:t>
            </w:r>
          </w:p>
          <w:p w14:paraId="0952434B" w14:textId="57D3D6CC"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Lapsa për dërrasë të bardhë (të paktën nga dy secila ngjyrë: të kaltër, të zi, të kuq dhe të gjelbër)</w:t>
            </w:r>
          </w:p>
          <w:p w14:paraId="33EC5B34" w14:textId="74E429DF"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2 Flipçart me letër adekuate</w:t>
            </w:r>
          </w:p>
          <w:p w14:paraId="0D73B442" w14:textId="77777777"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Fletore për shënime për pjesëmarrës dhe lapsa kimik.</w:t>
            </w:r>
          </w:p>
          <w:p w14:paraId="14CF9EF0" w14:textId="70274113" w:rsidR="00E7344B" w:rsidRPr="00F62A15" w:rsidRDefault="00E7344B" w:rsidP="00F62A15">
            <w:pPr>
              <w:pStyle w:val="bul1"/>
              <w:numPr>
                <w:ilvl w:val="0"/>
                <w:numId w:val="6"/>
              </w:numPr>
              <w:spacing w:before="120" w:after="120" w:line="280" w:lineRule="exact"/>
              <w:contextualSpacing/>
              <w:rPr>
                <w:i/>
                <w:color w:val="00B050"/>
                <w:szCs w:val="18"/>
              </w:rPr>
            </w:pPr>
            <w:r>
              <w:rPr>
                <w:color w:val="000000" w:themeColor="text1"/>
              </w:rPr>
              <w:t xml:space="preserve">Blu tack ose një produkt i ngjashëm për të lejuar që letra të ngjitet përkohësisht në mure</w:t>
            </w:r>
          </w:p>
        </w:tc>
      </w:tr>
      <w:tr w:rsidR="00E7344B" w:rsidRPr="00D82C18" w14:paraId="635F2EFD" w14:textId="77777777" w:rsidTr="00D65E51">
        <w:trPr>
          <w:trHeight w:val="2697"/>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rFonts w:ascii="Verdana" w:hAnsi="Verdana"/>
              </w:rPr>
              <w:t xml:space="preserve">Qëllimi i seancës:</w:t>
            </w:r>
            <w:r>
              <w:rPr>
                <w:b/>
                <w:sz w:val="22"/>
                <w:rFonts w:ascii="Verdana" w:hAnsi="Verdana"/>
              </w:rPr>
              <w:t xml:space="preserve">  </w:t>
            </w:r>
          </w:p>
          <w:p w14:paraId="3FE58655" w14:textId="6B3918EB" w:rsidR="00A03CF0" w:rsidRPr="005E396D" w:rsidRDefault="00A870E0" w:rsidP="00D65E51">
            <w:pPr>
              <w:spacing w:before="120" w:after="120" w:line="280" w:lineRule="exact"/>
              <w:rPr>
                <w:i/>
                <w:color w:val="FF0000"/>
                <w:sz w:val="18"/>
                <w:szCs w:val="18"/>
                <w:rFonts w:ascii="Verdana" w:hAnsi="Verdana"/>
              </w:rPr>
            </w:pPr>
            <w:r>
              <w:rPr>
                <w:sz w:val="18"/>
                <w:rFonts w:ascii="Verdana" w:hAnsi="Verdana"/>
              </w:rPr>
              <w:t xml:space="preserve">Kjo seancë ofron informacion në lidhje me teknologjinë që do të haset nga gjyqtarët dhe prokurorët gjatë punës së tyre dhe që përdoret nga kriminelët për të kryer krimin dhe zbatimi i ligjit për ta zbuluar atë.</w:t>
            </w:r>
            <w:r>
              <w:rPr>
                <w:sz w:val="18"/>
                <w:rFonts w:ascii="Verdana" w:hAnsi="Verdana"/>
              </w:rPr>
              <w:t xml:space="preserve"> </w:t>
            </w:r>
            <w:r>
              <w:rPr>
                <w:sz w:val="18"/>
                <w:rFonts w:ascii="Verdana" w:hAnsi="Verdana"/>
              </w:rPr>
              <w:t xml:space="preserve">Qëllimi i seancës është të aftësojë audiencën për të fituar njohuri të mjaftueshme në lidhje me teknologjinë që ata të funksionojnë në mënyrë më efektive në rolet e tyre.</w:t>
            </w:r>
          </w:p>
        </w:tc>
      </w:tr>
      <w:tr w:rsidR="00A03CF0" w:rsidRPr="00D82C18" w14:paraId="1B5A80A7" w14:textId="77777777" w:rsidTr="00D65E51">
        <w:trPr>
          <w:trHeight w:val="3105"/>
        </w:trPr>
        <w:tc>
          <w:tcPr>
            <w:tcW w:w="9010" w:type="dxa"/>
            <w:gridSpan w:val="3"/>
            <w:vAlign w:val="center"/>
          </w:tcPr>
          <w:p w14:paraId="559A7E05" w14:textId="77777777" w:rsidR="00A03CF0" w:rsidRPr="00271010" w:rsidRDefault="00271010" w:rsidP="005E396D">
            <w:pPr>
              <w:spacing w:before="120" w:after="120" w:line="280" w:lineRule="exact"/>
              <w:rPr>
                <w:b/>
                <w:sz w:val="22"/>
                <w:szCs w:val="22"/>
                <w:rFonts w:ascii="Verdana" w:hAnsi="Verdana"/>
              </w:rPr>
            </w:pPr>
            <w:r>
              <w:rPr>
                <w:b/>
                <w:sz w:val="22"/>
                <w:rFonts w:ascii="Verdana" w:hAnsi="Verdana"/>
              </w:rPr>
              <w:t xml:space="preserve">Objektivat:</w:t>
            </w:r>
          </w:p>
          <w:p w14:paraId="3B561508" w14:textId="13330D7F" w:rsidR="005E396D" w:rsidRPr="005E396D" w:rsidRDefault="005E396D" w:rsidP="005E396D">
            <w:pPr>
              <w:rPr>
                <w:sz w:val="18"/>
                <w:szCs w:val="18"/>
                <w:rFonts w:ascii="Verdana" w:eastAsia="Calibri" w:hAnsi="Verdana" w:cs="Times New Roman"/>
              </w:rPr>
            </w:pPr>
            <w:r>
              <w:rPr>
                <w:sz w:val="18"/>
                <w:rFonts w:ascii="Verdana" w:hAnsi="Verdana"/>
              </w:rPr>
              <w:t xml:space="preserve">Në fund të orës së mësimit studentët do të jenë në gjendje të:</w:t>
            </w:r>
            <w:r>
              <w:rPr>
                <w:sz w:val="18"/>
                <w:rFonts w:ascii="Verdana" w:hAnsi="Verdana"/>
              </w:rPr>
              <w:t xml:space="preserve"> </w:t>
            </w:r>
          </w:p>
          <w:p w14:paraId="1473F678" w14:textId="77777777" w:rsidR="00D65E51" w:rsidRPr="00D65E51" w:rsidRDefault="00D65E51" w:rsidP="00D65E51">
            <w:pPr>
              <w:pStyle w:val="bul1"/>
              <w:numPr>
                <w:ilvl w:val="0"/>
                <w:numId w:val="12"/>
              </w:numPr>
              <w:rPr>
                <w:szCs w:val="18"/>
              </w:rPr>
            </w:pPr>
            <w:r>
              <w:t xml:space="preserve">Njohin përbërësit e zakonshëm të një pajisje digjitale dhe kuptojnë rolin e tyre</w:t>
            </w:r>
          </w:p>
          <w:p w14:paraId="3FC328F1" w14:textId="77777777" w:rsidR="00D65E51" w:rsidRPr="00D65E51" w:rsidRDefault="00D65E51" w:rsidP="00D65E51">
            <w:pPr>
              <w:pStyle w:val="bul1"/>
              <w:numPr>
                <w:ilvl w:val="0"/>
                <w:numId w:val="12"/>
              </w:numPr>
              <w:rPr>
                <w:szCs w:val="18"/>
              </w:rPr>
            </w:pPr>
            <w:r>
              <w:t xml:space="preserve">Përshkruajnë çfarë është interneti, se si dikush lidhet me të dhe cilat gjurmë të mundshme mund të lihen duke vepruar kështu</w:t>
            </w:r>
          </w:p>
          <w:p w14:paraId="3D068D1A" w14:textId="77777777" w:rsidR="00D65E51" w:rsidRPr="00D65E51" w:rsidRDefault="00D65E51" w:rsidP="00D65E51">
            <w:pPr>
              <w:pStyle w:val="bul1"/>
              <w:numPr>
                <w:ilvl w:val="0"/>
                <w:numId w:val="12"/>
              </w:numPr>
              <w:rPr>
                <w:szCs w:val="18"/>
              </w:rPr>
            </w:pPr>
            <w:r>
              <w:t xml:space="preserve">Renditin disa shërbime dhe aplikacione në internet që mund të hasin në rolin e tyre si prokurorë dhe gjykatës</w:t>
            </w:r>
          </w:p>
          <w:p w14:paraId="61ABEAC5" w14:textId="64B8AE0E" w:rsidR="00E95703" w:rsidRPr="00D65E51" w:rsidRDefault="00D65E51" w:rsidP="00D65E51">
            <w:pPr>
              <w:pStyle w:val="bul1"/>
              <w:numPr>
                <w:ilvl w:val="0"/>
                <w:numId w:val="12"/>
              </w:numPr>
              <w:rPr>
                <w:szCs w:val="18"/>
              </w:rPr>
            </w:pPr>
            <w:r>
              <w:t xml:space="preserve">Japin shembuj të çështjeve që rrjeti i errët mund të sjellë në ndjekje penale</w:t>
            </w:r>
          </w:p>
        </w:tc>
      </w:tr>
      <w:tr w:rsidR="005703B7" w:rsidRPr="00D82C18" w14:paraId="03110757" w14:textId="77777777" w:rsidTr="001F724F">
        <w:trPr>
          <w:trHeight w:val="10790"/>
        </w:trPr>
        <w:tc>
          <w:tcPr>
            <w:tcW w:w="9010" w:type="dxa"/>
            <w:gridSpan w:val="3"/>
            <w:tcBorders>
              <w:bottom w:val="single" w:sz="4" w:space="0" w:color="auto"/>
            </w:tcBorders>
            <w:vAlign w:val="center"/>
          </w:tcPr>
          <w:p w14:paraId="7A064E85" w14:textId="11F41FB5" w:rsidR="005703B7" w:rsidRDefault="00E95703" w:rsidP="00F62A15">
            <w:pPr>
              <w:spacing w:before="120" w:after="120" w:line="280" w:lineRule="exact"/>
              <w:rPr>
                <w:b/>
                <w:sz w:val="22"/>
                <w:szCs w:val="22"/>
                <w:rFonts w:ascii="Verdana" w:hAnsi="Verdana"/>
              </w:rPr>
            </w:pPr>
            <w:r>
              <w:rPr>
                <w:b/>
                <w:sz w:val="22"/>
                <w:rFonts w:ascii="Verdana" w:hAnsi="Verdana"/>
              </w:rPr>
              <w:t xml:space="preserve">Udhëzimi për trajnerë</w:t>
            </w:r>
          </w:p>
          <w:p w14:paraId="3552E7E0" w14:textId="29B1056C" w:rsidR="005E396D" w:rsidRPr="005E396D" w:rsidRDefault="005E396D" w:rsidP="005E396D">
            <w:pPr>
              <w:spacing w:after="120" w:line="280" w:lineRule="exact"/>
              <w:jc w:val="both"/>
              <w:rPr>
                <w:sz w:val="18"/>
                <w:szCs w:val="18"/>
                <w:rFonts w:ascii="Verdana" w:eastAsia="Calibri" w:hAnsi="Verdana" w:cs="Times New Roman"/>
              </w:rPr>
            </w:pPr>
            <w:r>
              <w:rPr>
                <w:sz w:val="18"/>
                <w:rFonts w:ascii="Verdana" w:hAnsi="Verdana"/>
              </w:rPr>
              <w:t xml:space="preserve">Kjo seancë ka për qëllim t'u sigurojë trajnerëve një kornizë për zhvillimin e materialit trajnues që do të shpërndahet si pjesë e një programi më të gjerë.</w:t>
            </w:r>
            <w:r>
              <w:rPr>
                <w:sz w:val="18"/>
                <w:rFonts w:ascii="Verdana" w:hAnsi="Verdana"/>
              </w:rPr>
              <w:t xml:space="preserve"> </w:t>
            </w:r>
            <w:r>
              <w:rPr>
                <w:sz w:val="18"/>
                <w:rFonts w:ascii="Verdana" w:hAnsi="Verdana"/>
              </w:rPr>
              <w:t xml:space="preserve">Nuk mund të jetë gjithëpërfshirëse pasi teknologjia ndryshon kaq shpejt saqë specifikimet teknike të hollësishme do të ishin të vjetruara gati derisa  dokumenti të botohet.</w:t>
            </w:r>
            <w:r>
              <w:rPr>
                <w:sz w:val="18"/>
                <w:rFonts w:ascii="Verdana" w:hAnsi="Verdana"/>
              </w:rPr>
              <w:t xml:space="preserve"> </w:t>
            </w:r>
            <w:r>
              <w:rPr>
                <w:sz w:val="18"/>
                <w:rFonts w:ascii="Verdana" w:hAnsi="Verdana"/>
              </w:rPr>
              <w:t xml:space="preserve">Sigurimi që gjyqtarët dhe prokurorët kanë kuptim të mjaftueshëm të çështjeve teknike pasi ato kanë të bëjnë me çështjet para tyre është thelbësore për drejtimin e drejtë të çdo sistemi gjyqësor.</w:t>
            </w:r>
            <w:r>
              <w:rPr>
                <w:sz w:val="18"/>
                <w:rFonts w:ascii="Verdana" w:hAnsi="Verdana"/>
              </w:rPr>
              <w:t xml:space="preserve"> </w:t>
            </w:r>
            <w:r>
              <w:rPr>
                <w:sz w:val="18"/>
                <w:rFonts w:ascii="Verdana" w:hAnsi="Verdana"/>
              </w:rPr>
              <w:t xml:space="preserve">Kjo seancë ofron një përmbledhje të aspekteve përkatëse të teknologjisë dhe rëndësisë së saj për sistemin e drejtësisë penale.</w:t>
            </w:r>
            <w:r>
              <w:rPr>
                <w:sz w:val="18"/>
                <w:rFonts w:ascii="Verdana" w:hAnsi="Verdana"/>
              </w:rPr>
              <w:t xml:space="preserve"> </w:t>
            </w:r>
            <w:r>
              <w:rPr>
                <w:sz w:val="18"/>
                <w:rFonts w:ascii="Verdana" w:hAnsi="Verdana"/>
              </w:rPr>
              <w:t xml:space="preserve">Një prezantim i PowerPoint ofrohet si një burim që trajnerët të përdorin nëse konsiderohet e përshtatshme.</w:t>
            </w:r>
            <w:r>
              <w:rPr>
                <w:sz w:val="18"/>
                <w:rFonts w:ascii="Verdana" w:hAnsi="Verdana"/>
              </w:rPr>
              <w:t xml:space="preserve"> </w:t>
            </w:r>
          </w:p>
          <w:p w14:paraId="71562C73" w14:textId="52592EA1" w:rsidR="00E95703" w:rsidRDefault="005E396D" w:rsidP="005E396D">
            <w:pPr>
              <w:spacing w:before="120" w:after="120" w:line="280" w:lineRule="exact"/>
              <w:jc w:val="both"/>
              <w:rPr>
                <w:sz w:val="18"/>
                <w:szCs w:val="18"/>
                <w:rFonts w:ascii="Verdana" w:eastAsia="Calibri" w:hAnsi="Verdana" w:cs="Times New Roman"/>
              </w:rPr>
            </w:pPr>
            <w:r>
              <w:rPr>
                <w:sz w:val="18"/>
                <w:rFonts w:ascii="Verdana" w:hAnsi="Verdana"/>
              </w:rPr>
              <w:t xml:space="preserve">Kjo seancë ofron informacion në lidhje me teknologjinë që do të haset nga gjyqtarët dhe prokurorët gjatë punës së tyre dhe që përdoret nga kriminelët për të kryer krimin dhe zbatimi i ligjit për ta zbuluar atë.</w:t>
            </w:r>
            <w:r>
              <w:rPr>
                <w:sz w:val="18"/>
                <w:rFonts w:ascii="Verdana" w:hAnsi="Verdana"/>
              </w:rPr>
              <w:t xml:space="preserve"> </w:t>
            </w:r>
            <w:r>
              <w:rPr>
                <w:sz w:val="18"/>
                <w:rFonts w:ascii="Verdana" w:hAnsi="Verdana"/>
              </w:rPr>
              <w:t xml:space="preserve">Prezantimi në Powerpoint synon të ndihmojë në prezantimin e teknologjive para pjesëmarrësve.</w:t>
            </w:r>
            <w:r>
              <w:rPr>
                <w:sz w:val="18"/>
                <w:rFonts w:ascii="Verdana" w:hAnsi="Verdana"/>
              </w:rPr>
              <w:t xml:space="preserve"> </w:t>
            </w:r>
            <w:r>
              <w:rPr>
                <w:sz w:val="18"/>
                <w:rFonts w:ascii="Verdana" w:hAnsi="Verdana"/>
              </w:rPr>
              <w:t xml:space="preserve">Sidoqoftë, ai duhet të shërbejë vetëm si model dhe duhet të përpunohet nga trajneri për t'iu përshtatur audiencës së synuar, orarit dhe informacionit të rëndësishëm për vendin e tij/saj.</w:t>
            </w:r>
            <w:r>
              <w:rPr>
                <w:sz w:val="18"/>
                <w:rFonts w:ascii="Verdana" w:hAnsi="Verdana"/>
              </w:rPr>
              <w:t xml:space="preserve"> </w:t>
            </w:r>
            <w:r>
              <w:rPr>
                <w:sz w:val="18"/>
                <w:rFonts w:ascii="Verdana" w:hAnsi="Verdana"/>
              </w:rPr>
              <w:t xml:space="preserve">Trajneri duhet të synojë të përdorë shembuj dhe demonstrime praktike dhe të botës reale për të theksuar të mësuarit.</w:t>
            </w:r>
          </w:p>
          <w:p w14:paraId="68F62E2E" w14:textId="4A55A25F" w:rsidR="00B05B40" w:rsidRDefault="00B05B40" w:rsidP="00B05B40">
            <w:pPr>
              <w:spacing w:before="120" w:after="120" w:line="280" w:lineRule="exact"/>
              <w:jc w:val="both"/>
              <w:rPr>
                <w:sz w:val="18"/>
                <w:szCs w:val="18"/>
                <w:rFonts w:ascii="Verdana" w:eastAsia="Calibri" w:hAnsi="Verdana" w:cs="Times New Roman"/>
              </w:rPr>
            </w:pPr>
            <w:r>
              <w:rPr>
                <w:sz w:val="18"/>
                <w:rFonts w:ascii="Verdana" w:hAnsi="Verdana"/>
              </w:rPr>
              <w:t xml:space="preserve">Koha e caktuar për këtë seancë, në këtë version, është zvogëluar nga 180 minuta në 90 minuta, kështu që do të jetë e nevojshme që trajneri të përshtatë materialet për të përmbushur nevojat e secilës audiencë dhe këto mund të jenë të ndryshme, për shembull në varësi të sistemin ligjor në vendin ose vendet ku po zhvillohet trajnimi.</w:t>
            </w:r>
            <w:r>
              <w:rPr>
                <w:sz w:val="18"/>
                <w:rFonts w:ascii="Verdana" w:hAnsi="Verdana"/>
              </w:rPr>
              <w:t xml:space="preserve">  </w:t>
            </w:r>
            <w:r>
              <w:rPr>
                <w:sz w:val="18"/>
                <w:rFonts w:ascii="Verdana" w:hAnsi="Verdana"/>
              </w:rPr>
              <w:t xml:space="preserve">Siç është përmendur, ky material ofron një kornizë mbi të cilën trajneri duhet të përgatisë materialin e tyre për t'u dhënë, në përputhje me objektivat e mësimit.</w:t>
            </w:r>
            <w:r>
              <w:rPr>
                <w:sz w:val="18"/>
                <w:rFonts w:ascii="Verdana" w:hAnsi="Verdana"/>
              </w:rPr>
              <w:t xml:space="preserve"> </w:t>
            </w:r>
          </w:p>
          <w:p w14:paraId="5651C84F" w14:textId="19BA2EDF" w:rsidR="002030A4" w:rsidRDefault="002030A4" w:rsidP="00B05B40">
            <w:pPr>
              <w:spacing w:before="120" w:after="120" w:line="280" w:lineRule="exact"/>
              <w:jc w:val="both"/>
              <w:rPr>
                <w:sz w:val="18"/>
                <w:szCs w:val="18"/>
                <w:rFonts w:ascii="Verdana" w:eastAsia="Calibri" w:hAnsi="Verdana" w:cs="Times New Roman"/>
              </w:rPr>
            </w:pPr>
            <w:r>
              <w:rPr>
                <w:sz w:val="18"/>
                <w:rFonts w:ascii="Verdana" w:hAnsi="Verdana"/>
              </w:rPr>
              <w:t xml:space="preserve">Kohët e renditura më poshtë janë tregues të sasisë së kohës që duhet ndarë për secilën pjesë të mësimit.</w:t>
            </w:r>
            <w:r>
              <w:rPr>
                <w:sz w:val="18"/>
                <w:rFonts w:ascii="Verdana" w:hAnsi="Verdana"/>
              </w:rPr>
              <w:t xml:space="preserve"> </w:t>
            </w:r>
            <w:r>
              <w:rPr>
                <w:sz w:val="18"/>
                <w:rFonts w:ascii="Verdana" w:hAnsi="Verdana"/>
              </w:rPr>
              <w:t xml:space="preserve">Sipas nevojës, kjo do të thotë që disa pjesë do të trajtohen në më shumë se një nga tri seancat e përcaktuara.</w:t>
            </w:r>
          </w:p>
          <w:p w14:paraId="47569CB6" w14:textId="47444DEF" w:rsidR="003B6C3F" w:rsidRPr="002030A4" w:rsidRDefault="003B6C3F" w:rsidP="003B6C3F">
            <w:pPr>
              <w:pStyle w:val="bul1"/>
              <w:rPr>
                <w:rFonts w:ascii="Symbol" w:hAnsi="Symbol"/>
              </w:rPr>
            </w:pPr>
            <w:r>
              <w:t xml:space="preserve">Hyrja dhe hapja (Agjenda dhe objektivat e Seancës) (5 minuta)</w:t>
            </w:r>
          </w:p>
          <w:p w14:paraId="4662DDFA" w14:textId="6945556D" w:rsidR="003B6C3F" w:rsidRPr="002030A4" w:rsidRDefault="003B6C3F" w:rsidP="003B6C3F">
            <w:pPr>
              <w:pStyle w:val="bul1"/>
              <w:rPr>
                <w:rFonts w:ascii="Symbol" w:hAnsi="Symbol"/>
              </w:rPr>
            </w:pPr>
            <w:r>
              <w:t xml:space="preserve">Pjesa 1 – Pjesë dhe funksione kompjuteri (15 minuta)</w:t>
            </w:r>
          </w:p>
          <w:p w14:paraId="59EA9709" w14:textId="3372607B" w:rsidR="003B6C3F" w:rsidRPr="002030A4" w:rsidRDefault="003B6C3F" w:rsidP="003B6C3F">
            <w:pPr>
              <w:pStyle w:val="bul1"/>
              <w:rPr>
                <w:rFonts w:ascii="Symbol" w:hAnsi="Symbol"/>
              </w:rPr>
            </w:pPr>
            <w:r>
              <w:t xml:space="preserve">Pjesa 2 - Pjesët e internetit dhe si u krijua (20 minuta)</w:t>
            </w:r>
          </w:p>
          <w:p w14:paraId="17B11E98" w14:textId="0E09C34E" w:rsidR="003B6C3F" w:rsidRPr="002030A4" w:rsidRDefault="003B6C3F" w:rsidP="003B6C3F">
            <w:pPr>
              <w:pStyle w:val="bul1"/>
              <w:rPr>
                <w:rFonts w:ascii="Symbol" w:hAnsi="Symbol"/>
              </w:rPr>
            </w:pPr>
            <w:r>
              <w:t xml:space="preserve">Pjesa 3 - Lidhja me internetin (15 minuta)</w:t>
            </w:r>
          </w:p>
          <w:p w14:paraId="51926885" w14:textId="4B99F55E" w:rsidR="003B6C3F" w:rsidRPr="00AA3684" w:rsidRDefault="003B6C3F" w:rsidP="003B6C3F">
            <w:pPr>
              <w:pStyle w:val="bul1"/>
              <w:rPr>
                <w:rFonts w:ascii="Symbol" w:hAnsi="Symbol"/>
              </w:rPr>
            </w:pPr>
            <w:r>
              <w:t xml:space="preserve">Pjesa 4 - Shërbimet dhe aplikacionet në internet (15 minuta)</w:t>
            </w:r>
          </w:p>
          <w:p w14:paraId="7F2CC527" w14:textId="534C444F" w:rsidR="00D65E51" w:rsidRPr="002030A4" w:rsidRDefault="00D65E51" w:rsidP="003B6C3F">
            <w:pPr>
              <w:pStyle w:val="bul1"/>
              <w:rPr>
                <w:rFonts w:ascii="Symbol" w:hAnsi="Symbol"/>
              </w:rPr>
            </w:pPr>
            <w:r>
              <w:t xml:space="preserve">Pjesa 5 - Rrjet i thellë, anonimiteti dhe rrjeti i errët (15 minuta)</w:t>
            </w:r>
          </w:p>
          <w:p w14:paraId="3F5A0D63" w14:textId="77777777" w:rsidR="003B6C3F" w:rsidRPr="00AA3684" w:rsidRDefault="003B6C3F" w:rsidP="003B6C3F">
            <w:pPr>
              <w:pStyle w:val="bul1"/>
              <w:rPr>
                <w:rFonts w:ascii="Symbol" w:hAnsi="Symbol"/>
              </w:rPr>
            </w:pPr>
            <w:r>
              <w:t xml:space="preserve">Përmbledhje (5 minuta)</w:t>
            </w:r>
          </w:p>
          <w:p w14:paraId="32B6414E" w14:textId="77777777" w:rsidR="00AA3684" w:rsidRDefault="00AA3684" w:rsidP="00AA3684">
            <w:pPr>
              <w:pStyle w:val="bul1"/>
              <w:numPr>
                <w:ilvl w:val="0"/>
                <w:numId w:val="0"/>
              </w:numPr>
              <w:ind w:left="851" w:hanging="851"/>
              <w:rPr>
                <w:rFonts w:ascii="Symbol" w:hAnsi="Symbol"/>
              </w:rPr>
            </w:pPr>
          </w:p>
          <w:p w14:paraId="5EFF4BEF" w14:textId="3A2C6D34" w:rsidR="00AA3684" w:rsidRPr="003B6C3F" w:rsidRDefault="00AA3684" w:rsidP="00AA3684">
            <w:pPr>
              <w:pStyle w:val="bul1"/>
              <w:numPr>
                <w:ilvl w:val="0"/>
                <w:numId w:val="0"/>
              </w:numPr>
              <w:rPr>
                <w:rFonts w:ascii="Symbol" w:hAnsi="Symbol"/>
              </w:rPr>
            </w:pPr>
            <w:r>
              <w:t xml:space="preserve">Paketa e slajdeve për këtë prezantim është e gjerë - dhe ka udhëzime në seksionin e përmbajtjes së mësimit më poshtë për atë që është thelbësore dhe që mund të hiqet/fshihet nëse është e nevojshme</w:t>
            </w:r>
          </w:p>
        </w:tc>
      </w:tr>
      <w:tr w:rsidR="005A4E47" w:rsidRPr="00D82C18" w14:paraId="7760520D" w14:textId="77777777" w:rsidTr="001F724F">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rFonts w:ascii="Verdana" w:hAnsi="Verdana"/>
              </w:rPr>
              <w:t xml:space="preserve">Përmbajtja e Mësimit</w:t>
            </w:r>
          </w:p>
        </w:tc>
      </w:tr>
      <w:tr w:rsidR="001F724F" w:rsidRPr="00D82C18" w14:paraId="57CC7AA4" w14:textId="77777777" w:rsidTr="001F724F">
        <w:trPr>
          <w:trHeight w:val="629"/>
        </w:trPr>
        <w:tc>
          <w:tcPr>
            <w:tcW w:w="143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rFonts w:ascii="Verdana" w:hAnsi="Verdana"/>
              </w:rPr>
              <w:t xml:space="preserve">Numrat e slajdeve</w:t>
            </w:r>
          </w:p>
        </w:tc>
        <w:tc>
          <w:tcPr>
            <w:tcW w:w="757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rFonts w:ascii="Verdana" w:hAnsi="Verdana"/>
              </w:rPr>
              <w:t xml:space="preserve">Përmbajtja</w:t>
            </w:r>
          </w:p>
        </w:tc>
      </w:tr>
      <w:tr w:rsidR="001F724F" w:rsidRPr="00D82C18" w14:paraId="11A12D7E" w14:textId="77777777" w:rsidTr="001F724F">
        <w:tc>
          <w:tcPr>
            <w:tcW w:w="1435" w:type="dxa"/>
            <w:vAlign w:val="center"/>
          </w:tcPr>
          <w:p w14:paraId="346D0F44" w14:textId="5FABF04D" w:rsidR="00D82C18" w:rsidRDefault="003630ED" w:rsidP="00F00738">
            <w:pPr>
              <w:spacing w:before="120" w:after="120" w:line="280" w:lineRule="exact"/>
              <w:jc w:val="center"/>
              <w:rPr>
                <w:sz w:val="18"/>
                <w:szCs w:val="18"/>
                <w:rFonts w:ascii="Verdana" w:hAnsi="Verdana"/>
              </w:rPr>
            </w:pPr>
            <w:r>
              <w:rPr>
                <w:sz w:val="18"/>
                <w:rFonts w:ascii="Verdana" w:hAnsi="Verdana"/>
              </w:rPr>
              <w:t xml:space="preserve">1 deri 4</w:t>
            </w:r>
          </w:p>
          <w:p w14:paraId="5A89CF27" w14:textId="56EF626B" w:rsidR="001F724F" w:rsidRPr="00F62A15" w:rsidRDefault="001F724F" w:rsidP="00F00738">
            <w:pPr>
              <w:spacing w:before="120" w:after="120" w:line="280" w:lineRule="exact"/>
              <w:jc w:val="center"/>
              <w:rPr>
                <w:sz w:val="18"/>
                <w:szCs w:val="18"/>
                <w:rFonts w:ascii="Verdana" w:hAnsi="Verdana"/>
              </w:rPr>
            </w:pPr>
            <w:r>
              <w:rPr>
                <w:sz w:val="18"/>
                <w:rFonts w:ascii="Verdana" w:hAnsi="Verdana"/>
              </w:rPr>
              <w:t xml:space="preserve">E domosdoshme</w:t>
            </w:r>
          </w:p>
        </w:tc>
        <w:tc>
          <w:tcPr>
            <w:tcW w:w="7575" w:type="dxa"/>
            <w:gridSpan w:val="2"/>
            <w:vAlign w:val="center"/>
          </w:tcPr>
          <w:p w14:paraId="36345B59" w14:textId="231F64EC" w:rsidR="003630ED" w:rsidRPr="009D1FFB" w:rsidRDefault="0077656C" w:rsidP="0077656C">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Slajdet e parë janë hyrja në seancë dhe përfshijnë Agjendën dhe objektivat e seancës.</w:t>
            </w:r>
            <w:r>
              <w:rPr>
                <w:color w:val="000000" w:themeColor="text1"/>
                <w:sz w:val="18"/>
                <w:rFonts w:ascii="Verdana" w:hAnsi="Verdana"/>
              </w:rPr>
              <w:t xml:space="preserve">  </w:t>
            </w:r>
            <w:r>
              <w:rPr>
                <w:color w:val="000000" w:themeColor="text1"/>
                <w:sz w:val="18"/>
                <w:rFonts w:ascii="Verdana" w:hAnsi="Verdana"/>
              </w:rPr>
              <w:t xml:space="preserve">Trajneri duhet të sigurojë që këto të ndryshohen aty ku është vendosur të përjashtohen grupe slajdesh ose fusha tematike.</w:t>
            </w:r>
            <w:r>
              <w:rPr>
                <w:rFonts w:ascii="Verdana" w:hAnsi="Verdana"/>
              </w:rPr>
              <w:t xml:space="preserve"> </w:t>
            </w:r>
            <w:r>
              <w:rPr>
                <w:sz w:val="18"/>
                <w:rFonts w:ascii="Verdana" w:hAnsi="Verdana"/>
              </w:rPr>
              <w:t xml:space="preserve">Këto slajde janë një hyrje e lehtë e lëndës dhe identifikojnë qartë se ritmi i ndryshimit të teknologjisë ishte përtej mendimit të disa prej ekspertëve të ditës.</w:t>
            </w:r>
            <w:r>
              <w:rPr>
                <w:sz w:val="18"/>
                <w:rFonts w:ascii="Verdana" w:hAnsi="Verdana"/>
              </w:rPr>
              <w:t xml:space="preserve">  </w:t>
            </w:r>
            <w:r>
              <w:rPr>
                <w:sz w:val="18"/>
                <w:rFonts w:ascii="Verdana" w:hAnsi="Verdana"/>
              </w:rPr>
              <w:t xml:space="preserve">Kjo ishte një hyrje për pajisje kompjuterike që tani është hequr nga ky kurs.</w:t>
            </w:r>
            <w:r>
              <w:rPr>
                <w:sz w:val="18"/>
                <w:rFonts w:ascii="Verdana" w:hAnsi="Verdana"/>
              </w:rPr>
              <w:t xml:space="preserve"> </w:t>
            </w:r>
            <w:r>
              <w:rPr>
                <w:sz w:val="18"/>
                <w:rFonts w:ascii="Verdana" w:hAnsi="Verdana"/>
              </w:rPr>
              <w:t xml:space="preserve">Provat elektronike të lexuara paraprakisht për kursin japin një ndarje të hollësishme të pajisjeve digjitale dhe nuk është më e nevojshme që ato të përfshihen këtu.</w:t>
            </w:r>
          </w:p>
        </w:tc>
      </w:tr>
      <w:tr w:rsidR="001F724F" w:rsidRPr="009D1FFB" w14:paraId="2837A9BA" w14:textId="77777777" w:rsidTr="001F724F">
        <w:trPr>
          <w:trHeight w:val="1079"/>
        </w:trPr>
        <w:tc>
          <w:tcPr>
            <w:tcW w:w="1435" w:type="dxa"/>
            <w:vAlign w:val="center"/>
          </w:tcPr>
          <w:p w14:paraId="389F7DFC" w14:textId="78A7F3BC" w:rsidR="009D1FFB" w:rsidRDefault="001723EB"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5 deri 33</w:t>
            </w:r>
          </w:p>
          <w:p w14:paraId="1FC0D9FA" w14:textId="59B10197" w:rsidR="001F724F" w:rsidRPr="00FE1428" w:rsidRDefault="001F724F"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I rëndësishëm</w:t>
            </w:r>
          </w:p>
        </w:tc>
        <w:tc>
          <w:tcPr>
            <w:tcW w:w="7575" w:type="dxa"/>
            <w:gridSpan w:val="2"/>
            <w:vAlign w:val="center"/>
          </w:tcPr>
          <w:p w14:paraId="57AC0FC7" w14:textId="77777777" w:rsidR="001723EB" w:rsidRDefault="001723EB"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Kjo pjesë kërkon të ndërtojë një kompjuter në mënyrë virtuale dhe të shpjegojë se çfarë përbën një pajisje digjitale dhe çfarë përdorimi kanë pjesët.</w:t>
            </w:r>
            <w:r>
              <w:rPr>
                <w:color w:val="000000" w:themeColor="text1"/>
                <w:sz w:val="18"/>
                <w:rFonts w:ascii="Verdana" w:hAnsi="Verdana"/>
              </w:rPr>
              <w:t xml:space="preserve"> </w:t>
            </w:r>
            <w:r>
              <w:rPr>
                <w:color w:val="000000" w:themeColor="text1"/>
                <w:sz w:val="18"/>
                <w:rFonts w:ascii="Verdana" w:hAnsi="Verdana"/>
              </w:rPr>
              <w:t xml:space="preserve">Kjo merret me harduer dhe softuer dhe tregon të përbashkëtat ndërmjet pajisjeve ndërsa e bën të vetëdijshëm pjesëmarrësin.</w:t>
            </w:r>
          </w:p>
          <w:p w14:paraId="6BAF79C4" w14:textId="77777777" w:rsidR="001723EB" w:rsidRDefault="001723EB"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Trajnerët mund të zgjedhin të përshkruajnë pjesët përbërëse në mënyrën e tyre, por kjo seri slajdesh do të ofrojë një pasqyrë të teknologjive - duke siguruar aty ku është e nevojshme krahasimin ndërmjet kompjuterëve tradicionalë dhe pajisjeve më të vogla, më të lëvizshme</w:t>
            </w:r>
          </w:p>
          <w:p w14:paraId="44771A45" w14:textId="24DCD186" w:rsidR="009D1FFB" w:rsidRPr="00FE1428" w:rsidRDefault="001723EB"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Seksioni përfundon me një hyrje në sistemet operative dhe softuerin, duke përfshirë mjediset virtuale në një nivel shumë themelor</w:t>
            </w:r>
            <w:r>
              <w:rPr>
                <w:color w:val="000000" w:themeColor="text1"/>
                <w:sz w:val="18"/>
                <w:rFonts w:ascii="Verdana" w:hAnsi="Verdana"/>
              </w:rPr>
              <w:t xml:space="preserve"> </w:t>
            </w:r>
          </w:p>
        </w:tc>
      </w:tr>
      <w:tr w:rsidR="001F724F" w:rsidRPr="009D1FFB" w14:paraId="5289EE45" w14:textId="77777777" w:rsidTr="001F724F">
        <w:trPr>
          <w:trHeight w:val="1079"/>
        </w:trPr>
        <w:tc>
          <w:tcPr>
            <w:tcW w:w="1435" w:type="dxa"/>
            <w:vAlign w:val="center"/>
          </w:tcPr>
          <w:p w14:paraId="34FBDCBF" w14:textId="32CED356" w:rsidR="009D1FFB" w:rsidRDefault="001723EB"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34 deri 55</w:t>
            </w:r>
          </w:p>
          <w:p w14:paraId="67E12C95" w14:textId="69865988" w:rsidR="001F724F" w:rsidRPr="00FE1428" w:rsidRDefault="00D5036D"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E domosdoshme</w:t>
            </w:r>
          </w:p>
        </w:tc>
        <w:tc>
          <w:tcPr>
            <w:tcW w:w="7575" w:type="dxa"/>
            <w:gridSpan w:val="2"/>
            <w:vAlign w:val="center"/>
          </w:tcPr>
          <w:p w14:paraId="0EA3F3AF" w14:textId="77777777" w:rsidR="009D1FFB" w:rsidRDefault="00A84D48"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Këto slajde trajtojnë historinë e internetit dhe janë një hyrje e thjeshtë për këtë temë.</w:t>
            </w:r>
            <w:r>
              <w:rPr>
                <w:color w:val="000000" w:themeColor="text1"/>
                <w:sz w:val="18"/>
                <w:rFonts w:ascii="Verdana" w:hAnsi="Verdana"/>
              </w:rPr>
              <w:t xml:space="preserve"> </w:t>
            </w:r>
            <w:r>
              <w:rPr>
                <w:color w:val="000000" w:themeColor="text1"/>
                <w:sz w:val="18"/>
                <w:rFonts w:ascii="Verdana" w:hAnsi="Verdana"/>
              </w:rPr>
              <w:t xml:space="preserve">Trajnerët mund të dëshirojnë të zëvendësojnë informacionin e tyre për të përshkruar historinë</w:t>
            </w:r>
          </w:p>
          <w:p w14:paraId="447834AF" w14:textId="28EB4E36" w:rsidR="001723EB" w:rsidRPr="00FE1428" w:rsidRDefault="001723EB"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Ato prezantojnë rrjete dhe lidhje para se të kalojnë në internet më të gjerë me një historik të shkurtër dhe një vështrim në pjesët kryesore që do të përmenden në aktivitetet kriminale dhe hetimin e tyre</w:t>
            </w:r>
          </w:p>
        </w:tc>
      </w:tr>
      <w:tr w:rsidR="001F724F" w:rsidRPr="009D1FFB" w14:paraId="2C17F78E" w14:textId="77777777" w:rsidTr="001F724F">
        <w:trPr>
          <w:trHeight w:val="1079"/>
        </w:trPr>
        <w:tc>
          <w:tcPr>
            <w:tcW w:w="1435" w:type="dxa"/>
            <w:vAlign w:val="center"/>
          </w:tcPr>
          <w:p w14:paraId="2B197983" w14:textId="3F701F38" w:rsidR="009D1FFB" w:rsidRDefault="00D5036D"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56 deri 68</w:t>
            </w:r>
          </w:p>
          <w:p w14:paraId="0E29A7F0" w14:textId="0B576C76" w:rsidR="001F724F" w:rsidRPr="00FE1428" w:rsidRDefault="001F724F"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E domosdoshme</w:t>
            </w:r>
          </w:p>
        </w:tc>
        <w:tc>
          <w:tcPr>
            <w:tcW w:w="7575" w:type="dxa"/>
            <w:gridSpan w:val="2"/>
            <w:vAlign w:val="center"/>
          </w:tcPr>
          <w:p w14:paraId="1E936D2A" w14:textId="77777777" w:rsidR="009D1FFB" w:rsidRDefault="00A84D48"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Kjo pjesë funksionon përmes mekanikës së krijimit të një lidhje në internet dhe i prezanton pjesëmarrësit në disa nga burimet që mund të përdoren për të gjetur informacionin pasi dikush ta ketë bërë atë lidhje.</w:t>
            </w:r>
          </w:p>
          <w:p w14:paraId="6F1C4F38" w14:textId="4CB8AF58" w:rsidR="00D5036D" w:rsidRPr="00FE1428" w:rsidRDefault="00D5036D"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Trajnerët mund të dëshirojnë të zëvendësojnë informacionin e tyre për të përshkruar lidhjen dhe hetimin</w:t>
            </w:r>
          </w:p>
        </w:tc>
      </w:tr>
      <w:tr w:rsidR="001F724F" w:rsidRPr="009D1FFB" w14:paraId="7D254AC0" w14:textId="77777777" w:rsidTr="001F724F">
        <w:trPr>
          <w:trHeight w:val="1079"/>
        </w:trPr>
        <w:tc>
          <w:tcPr>
            <w:tcW w:w="1435" w:type="dxa"/>
            <w:vAlign w:val="center"/>
          </w:tcPr>
          <w:p w14:paraId="33E8A47D" w14:textId="2C981546" w:rsidR="009D1FFB" w:rsidRDefault="00D5036D"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69 deri 102</w:t>
            </w:r>
          </w:p>
          <w:p w14:paraId="2E80BEC1" w14:textId="6F9F96C5" w:rsidR="001F724F" w:rsidRPr="00FE1428" w:rsidRDefault="00D5036D"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Të rëndësishëm</w:t>
            </w:r>
          </w:p>
        </w:tc>
        <w:tc>
          <w:tcPr>
            <w:tcW w:w="7575" w:type="dxa"/>
            <w:gridSpan w:val="2"/>
            <w:vAlign w:val="center"/>
          </w:tcPr>
          <w:p w14:paraId="42DF1347" w14:textId="1A50A9B0" w:rsidR="00D5036D" w:rsidRDefault="009A7C8E" w:rsidP="009A7C8E">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Kjo pjesë fokuson shërbimet dhe aplikacionet në internet të cilat mund të vihen re në çështje penale.</w:t>
            </w:r>
            <w:r>
              <w:rPr>
                <w:color w:val="000000" w:themeColor="text1"/>
                <w:sz w:val="18"/>
                <w:rFonts w:ascii="Verdana" w:hAnsi="Verdana"/>
              </w:rPr>
              <w:t xml:space="preserve"> </w:t>
            </w:r>
            <w:r>
              <w:rPr>
                <w:color w:val="000000" w:themeColor="text1"/>
                <w:sz w:val="18"/>
                <w:rFonts w:ascii="Verdana" w:hAnsi="Verdana"/>
              </w:rPr>
              <w:t xml:space="preserve">Trajnerët mund të dëshirojnë të zëvendësojnë informacionin e tyre ose shembujt për të përshkruar këto</w:t>
            </w:r>
          </w:p>
          <w:p w14:paraId="1C22C67C" w14:textId="2F4A3109" w:rsidR="009D1FFB" w:rsidRPr="00FE1428" w:rsidRDefault="009A7C8E" w:rsidP="009A7C8E">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Disa slajde kanë statistika të internetit.</w:t>
            </w:r>
            <w:r>
              <w:rPr>
                <w:color w:val="000000" w:themeColor="text1"/>
                <w:sz w:val="18"/>
                <w:rFonts w:ascii="Verdana" w:hAnsi="Verdana"/>
              </w:rPr>
              <w:t xml:space="preserve"> </w:t>
            </w:r>
            <w:r>
              <w:rPr>
                <w:color w:val="000000" w:themeColor="text1"/>
                <w:sz w:val="18"/>
                <w:rFonts w:ascii="Verdana" w:hAnsi="Verdana"/>
              </w:rPr>
              <w:t xml:space="preserve">Është përgjegjësi e trajnerit të sigurojë që këto statistika janë të azhurnuara dhe kur është e mundur relevante për audiencën - megjithatë ato ishin të sakta në momentin e shkrimit të slajdeve (gusht 2020).</w:t>
            </w:r>
          </w:p>
        </w:tc>
      </w:tr>
      <w:tr w:rsidR="001F724F" w:rsidRPr="009D1FFB" w14:paraId="7DC867CB" w14:textId="77777777" w:rsidTr="001F724F">
        <w:trPr>
          <w:trHeight w:val="1079"/>
        </w:trPr>
        <w:tc>
          <w:tcPr>
            <w:tcW w:w="1435" w:type="dxa"/>
            <w:vAlign w:val="center"/>
          </w:tcPr>
          <w:p w14:paraId="4666C405" w14:textId="11F3FC8F" w:rsidR="009D1FFB" w:rsidRDefault="00A805DB"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103 deri 116</w:t>
            </w:r>
          </w:p>
          <w:p w14:paraId="0D6E92F8" w14:textId="6F7AD8AB" w:rsidR="001F724F" w:rsidRPr="00FE1428" w:rsidRDefault="001F724F"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E domosdoshme</w:t>
            </w:r>
          </w:p>
        </w:tc>
        <w:tc>
          <w:tcPr>
            <w:tcW w:w="7575" w:type="dxa"/>
            <w:gridSpan w:val="2"/>
            <w:vAlign w:val="center"/>
          </w:tcPr>
          <w:p w14:paraId="3A9C3325" w14:textId="77777777" w:rsidR="00603C3A" w:rsidRDefault="009A7C8E"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Ky seksion u prezanton pjesëmarrësve Deepweb, anonimitetin dhe Darkweb dhe do t'i lejojë pjesëmarrësit të fitojnë një kuptim të teknologjive dhe terminologjive që mund të hasin në hetimet e këtij lloji.</w:t>
            </w:r>
          </w:p>
          <w:p w14:paraId="6608E1B9" w14:textId="1D9C1262" w:rsidR="00603C3A" w:rsidRPr="00FE1428" w:rsidRDefault="00603C3A"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Trajneri mund të dëshirojë të zëvendësojë informacionin ose shembujt e tij për t'i përshkruar ato ose për të kryer demonstrime në internet aty ku lejon lidhja</w:t>
            </w:r>
          </w:p>
        </w:tc>
      </w:tr>
      <w:tr w:rsidR="001F724F" w:rsidRPr="009D1FFB" w14:paraId="1B49C2DB" w14:textId="77777777" w:rsidTr="001F724F">
        <w:trPr>
          <w:trHeight w:val="1079"/>
        </w:trPr>
        <w:tc>
          <w:tcPr>
            <w:tcW w:w="1435" w:type="dxa"/>
            <w:vAlign w:val="center"/>
          </w:tcPr>
          <w:p w14:paraId="58A754E5" w14:textId="0EA9D33C" w:rsidR="009D1FFB" w:rsidRDefault="00D5036D" w:rsidP="001F724F">
            <w:pPr>
              <w:spacing w:before="120" w:after="120" w:line="280" w:lineRule="exact"/>
              <w:jc w:val="center"/>
              <w:rPr>
                <w:color w:val="000000" w:themeColor="text1"/>
                <w:sz w:val="18"/>
                <w:szCs w:val="18"/>
                <w:rFonts w:ascii="Verdana" w:hAnsi="Verdana"/>
              </w:rPr>
            </w:pPr>
            <w:r>
              <w:rPr>
                <w:color w:val="000000" w:themeColor="text1"/>
                <w:sz w:val="18"/>
                <w:rFonts w:ascii="Verdana" w:hAnsi="Verdana"/>
              </w:rPr>
              <w:t xml:space="preserve">117 deri 118</w:t>
            </w:r>
          </w:p>
          <w:p w14:paraId="5F457997" w14:textId="2670B181" w:rsidR="001F724F" w:rsidRPr="00FE1428" w:rsidRDefault="001F724F" w:rsidP="001F724F">
            <w:pPr>
              <w:spacing w:before="120" w:after="120" w:line="280" w:lineRule="exact"/>
              <w:jc w:val="center"/>
              <w:rPr>
                <w:color w:val="000000" w:themeColor="text1"/>
                <w:sz w:val="18"/>
                <w:szCs w:val="18"/>
                <w:rFonts w:ascii="Verdana" w:hAnsi="Verdana"/>
              </w:rPr>
            </w:pPr>
            <w:r>
              <w:rPr>
                <w:color w:val="000000" w:themeColor="text1"/>
                <w:sz w:val="18"/>
                <w:rFonts w:ascii="Verdana" w:hAnsi="Verdana"/>
              </w:rPr>
              <w:t xml:space="preserve">Të domosdoshme</w:t>
            </w:r>
          </w:p>
        </w:tc>
        <w:tc>
          <w:tcPr>
            <w:tcW w:w="7575" w:type="dxa"/>
            <w:gridSpan w:val="2"/>
            <w:vAlign w:val="center"/>
          </w:tcPr>
          <w:p w14:paraId="07567817" w14:textId="60B0CB5A" w:rsidR="009D1FFB" w:rsidRPr="00FE1428" w:rsidRDefault="003253DC"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Seksioni i fundit jep mundësinë që trajneri të reflektojë në atë që është mësuar në orë dhe të sigurojë që objektivat janë përmbushur.</w:t>
            </w:r>
            <w:r>
              <w:rPr>
                <w:color w:val="000000" w:themeColor="text1"/>
                <w:sz w:val="18"/>
                <w:rFonts w:ascii="Verdana" w:hAnsi="Verdana"/>
              </w:rPr>
              <w:t xml:space="preserve"> </w:t>
            </w:r>
            <w:r>
              <w:rPr>
                <w:color w:val="000000" w:themeColor="text1"/>
                <w:sz w:val="18"/>
                <w:rFonts w:ascii="Verdana" w:hAnsi="Verdana"/>
              </w:rPr>
              <w:t xml:space="preserve">Ai gjithashtu u ofron pjesëmarrësve të njëjtën mundësi dhe të ngrenë çdo çështje që mund të kërkojë sqarime.</w:t>
            </w:r>
          </w:p>
        </w:tc>
      </w:tr>
      <w:tr w:rsidR="003253DC" w:rsidRPr="00D82C18" w14:paraId="2ECF09B7" w14:textId="77777777" w:rsidTr="001F724F">
        <w:trPr>
          <w:trHeight w:val="1412"/>
        </w:trPr>
        <w:tc>
          <w:tcPr>
            <w:tcW w:w="9010" w:type="dxa"/>
            <w:gridSpan w:val="3"/>
            <w:vAlign w:val="center"/>
          </w:tcPr>
          <w:p w14:paraId="5630E2B7" w14:textId="77777777" w:rsidR="003253DC" w:rsidRPr="00661034" w:rsidRDefault="003253DC" w:rsidP="00661034">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Ushtrime praktike</w:t>
            </w:r>
          </w:p>
          <w:p w14:paraId="505DEC2C" w14:textId="55634807" w:rsidR="00661034" w:rsidRPr="00661034" w:rsidRDefault="00661034" w:rsidP="00661034">
            <w:pPr>
              <w:tabs>
                <w:tab w:val="left" w:pos="426"/>
                <w:tab w:val="left" w:pos="851"/>
              </w:tabs>
              <w:spacing w:after="120" w:line="280" w:lineRule="exact"/>
              <w:rPr>
                <w:sz w:val="18"/>
                <w:szCs w:val="18"/>
                <w:rFonts w:ascii="Verdana" w:eastAsia="Times New Roman" w:hAnsi="Verdana" w:cs="Calibri"/>
              </w:rPr>
            </w:pPr>
            <w:r>
              <w:rPr>
                <w:sz w:val="18"/>
                <w:rFonts w:ascii="Verdana" w:hAnsi="Verdana"/>
              </w:rPr>
              <w:t xml:space="preserve">Asnjë ushtrim praktik nuk parashihet për këtë sesion të veçantë pasi nuk ka asnjë garanci se niveli i teknologjisë dhe qasjes në internet për të dhënë ushtrime të tilla do të jenë në dispozicion në të gjitha vendet.</w:t>
            </w:r>
            <w:r>
              <w:rPr>
                <w:sz w:val="18"/>
                <w:rFonts w:ascii="Verdana" w:hAnsi="Verdana"/>
              </w:rPr>
              <w:t xml:space="preserve"> </w:t>
            </w:r>
          </w:p>
          <w:p w14:paraId="04D65D89" w14:textId="5CCF192C" w:rsidR="003253DC" w:rsidRPr="00661034" w:rsidRDefault="00661034" w:rsidP="00661034">
            <w:pPr>
              <w:tabs>
                <w:tab w:val="left" w:pos="426"/>
                <w:tab w:val="left" w:pos="851"/>
              </w:tabs>
              <w:spacing w:after="120" w:line="280" w:lineRule="exact"/>
              <w:rPr>
                <w:sz w:val="18"/>
                <w:szCs w:val="18"/>
                <w:rFonts w:ascii="Verdana" w:eastAsia="Times New Roman" w:hAnsi="Verdana" w:cs="Calibri"/>
              </w:rPr>
            </w:pPr>
            <w:r>
              <w:rPr>
                <w:sz w:val="18"/>
                <w:rFonts w:ascii="Verdana" w:hAnsi="Verdana"/>
              </w:rPr>
              <w:t xml:space="preserve">Trajnerët në të ardhmen mund të synojnë të plotësojnë mësimin duke shtuar ushtrime, ku trajnimi jepet në një mjedis ku objektet janë të përshtatshme.</w:t>
            </w:r>
          </w:p>
        </w:tc>
      </w:tr>
      <w:tr w:rsidR="003253DC" w:rsidRPr="00D82C18" w14:paraId="603967A2" w14:textId="77777777" w:rsidTr="001F724F">
        <w:tc>
          <w:tcPr>
            <w:tcW w:w="9010" w:type="dxa"/>
            <w:gridSpan w:val="3"/>
            <w:vAlign w:val="center"/>
          </w:tcPr>
          <w:p w14:paraId="090B3430" w14:textId="77777777" w:rsidR="003253DC" w:rsidRPr="00661034" w:rsidRDefault="003253DC" w:rsidP="00661034">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Vlerësimi/Kontrolli i njohurive</w:t>
            </w:r>
          </w:p>
          <w:p w14:paraId="4496975B" w14:textId="19FD66F4" w:rsidR="003253DC" w:rsidRPr="00661034" w:rsidRDefault="00661034" w:rsidP="00661034">
            <w:pPr>
              <w:spacing w:before="120" w:after="120" w:line="280" w:lineRule="exact"/>
              <w:rPr>
                <w:color w:val="000000" w:themeColor="text1"/>
                <w:sz w:val="18"/>
                <w:szCs w:val="18"/>
                <w:rFonts w:ascii="Verdana" w:hAnsi="Verdana"/>
              </w:rPr>
            </w:pPr>
            <w:r>
              <w:rPr>
                <w:sz w:val="18"/>
                <w:rFonts w:ascii="Verdana" w:hAnsi="Verdana"/>
              </w:rPr>
              <w:t xml:space="preserve">Asnjë kontroll specifik i njohurive përveç asaj të renditur më sipër nuk parashihet aktualisht për këtë kurs.</w:t>
            </w:r>
            <w:r>
              <w:rPr>
                <w:sz w:val="18"/>
                <w:rFonts w:ascii="Verdana" w:hAnsi="Verdana"/>
              </w:rPr>
              <w:t xml:space="preserve"> </w:t>
            </w:r>
            <w:r>
              <w:rPr>
                <w:sz w:val="18"/>
                <w:rFonts w:ascii="Verdana" w:hAnsi="Verdana"/>
              </w:rPr>
              <w:t xml:space="preserve">Nuk është kërkuar ndonjë vlerësim zyrtar.</w:t>
            </w:r>
          </w:p>
        </w:tc>
      </w:tr>
    </w:tbl>
    <w:p w14:paraId="15498912" w14:textId="77777777" w:rsidR="00D82C18" w:rsidRPr="00D82C18" w:rsidRDefault="00D82C18">
      <w:pPr>
        <w:rPr>
          <w:rFonts w:ascii="Verdana" w:hAnsi="Verdana"/>
        </w:rPr>
      </w:pPr>
    </w:p>
    <w:sectPr w:rsidR="00D82C18" w:rsidRPr="00D82C18"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Verdana"/>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12B8551A"/>
    <w:multiLevelType w:val="hybridMultilevel"/>
    <w:tmpl w:val="3A961B3E"/>
    <w:lvl w:ilvl="0" w:tplc="5F884B4E">
      <w:start w:val="1"/>
      <w:numFmt w:val="bullet"/>
      <w:lvlText w:val="•"/>
      <w:lvlJc w:val="left"/>
      <w:pPr>
        <w:tabs>
          <w:tab w:val="num" w:pos="720"/>
        </w:tabs>
        <w:ind w:left="720" w:hanging="360"/>
      </w:pPr>
      <w:rPr>
        <w:rFonts w:ascii="Arial" w:hAnsi="Arial" w:hint="default"/>
      </w:rPr>
    </w:lvl>
    <w:lvl w:ilvl="1" w:tplc="8660895E" w:tentative="1">
      <w:start w:val="1"/>
      <w:numFmt w:val="bullet"/>
      <w:lvlText w:val="•"/>
      <w:lvlJc w:val="left"/>
      <w:pPr>
        <w:tabs>
          <w:tab w:val="num" w:pos="1440"/>
        </w:tabs>
        <w:ind w:left="1440" w:hanging="360"/>
      </w:pPr>
      <w:rPr>
        <w:rFonts w:ascii="Arial" w:hAnsi="Arial" w:hint="default"/>
      </w:rPr>
    </w:lvl>
    <w:lvl w:ilvl="2" w:tplc="3EDAA6E0" w:tentative="1">
      <w:start w:val="1"/>
      <w:numFmt w:val="bullet"/>
      <w:lvlText w:val="•"/>
      <w:lvlJc w:val="left"/>
      <w:pPr>
        <w:tabs>
          <w:tab w:val="num" w:pos="2160"/>
        </w:tabs>
        <w:ind w:left="2160" w:hanging="360"/>
      </w:pPr>
      <w:rPr>
        <w:rFonts w:ascii="Arial" w:hAnsi="Arial" w:hint="default"/>
      </w:rPr>
    </w:lvl>
    <w:lvl w:ilvl="3" w:tplc="5C4888A6" w:tentative="1">
      <w:start w:val="1"/>
      <w:numFmt w:val="bullet"/>
      <w:lvlText w:val="•"/>
      <w:lvlJc w:val="left"/>
      <w:pPr>
        <w:tabs>
          <w:tab w:val="num" w:pos="2880"/>
        </w:tabs>
        <w:ind w:left="2880" w:hanging="360"/>
      </w:pPr>
      <w:rPr>
        <w:rFonts w:ascii="Arial" w:hAnsi="Arial" w:hint="default"/>
      </w:rPr>
    </w:lvl>
    <w:lvl w:ilvl="4" w:tplc="EA149168" w:tentative="1">
      <w:start w:val="1"/>
      <w:numFmt w:val="bullet"/>
      <w:lvlText w:val="•"/>
      <w:lvlJc w:val="left"/>
      <w:pPr>
        <w:tabs>
          <w:tab w:val="num" w:pos="3600"/>
        </w:tabs>
        <w:ind w:left="3600" w:hanging="360"/>
      </w:pPr>
      <w:rPr>
        <w:rFonts w:ascii="Arial" w:hAnsi="Arial" w:hint="default"/>
      </w:rPr>
    </w:lvl>
    <w:lvl w:ilvl="5" w:tplc="B5DC46E4" w:tentative="1">
      <w:start w:val="1"/>
      <w:numFmt w:val="bullet"/>
      <w:lvlText w:val="•"/>
      <w:lvlJc w:val="left"/>
      <w:pPr>
        <w:tabs>
          <w:tab w:val="num" w:pos="4320"/>
        </w:tabs>
        <w:ind w:left="4320" w:hanging="360"/>
      </w:pPr>
      <w:rPr>
        <w:rFonts w:ascii="Arial" w:hAnsi="Arial" w:hint="default"/>
      </w:rPr>
    </w:lvl>
    <w:lvl w:ilvl="6" w:tplc="07EAE06C" w:tentative="1">
      <w:start w:val="1"/>
      <w:numFmt w:val="bullet"/>
      <w:lvlText w:val="•"/>
      <w:lvlJc w:val="left"/>
      <w:pPr>
        <w:tabs>
          <w:tab w:val="num" w:pos="5040"/>
        </w:tabs>
        <w:ind w:left="5040" w:hanging="360"/>
      </w:pPr>
      <w:rPr>
        <w:rFonts w:ascii="Arial" w:hAnsi="Arial" w:hint="default"/>
      </w:rPr>
    </w:lvl>
    <w:lvl w:ilvl="7" w:tplc="1C1A6EDE" w:tentative="1">
      <w:start w:val="1"/>
      <w:numFmt w:val="bullet"/>
      <w:lvlText w:val="•"/>
      <w:lvlJc w:val="left"/>
      <w:pPr>
        <w:tabs>
          <w:tab w:val="num" w:pos="5760"/>
        </w:tabs>
        <w:ind w:left="5760" w:hanging="360"/>
      </w:pPr>
      <w:rPr>
        <w:rFonts w:ascii="Arial" w:hAnsi="Arial" w:hint="default"/>
      </w:rPr>
    </w:lvl>
    <w:lvl w:ilvl="8" w:tplc="B002AC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F96714"/>
    <w:multiLevelType w:val="hybridMultilevel"/>
    <w:tmpl w:val="566A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CA66B0C"/>
    <w:multiLevelType w:val="hybridMultilevel"/>
    <w:tmpl w:val="FD520146"/>
    <w:lvl w:ilvl="0" w:tplc="2B967354">
      <w:start w:val="1"/>
      <w:numFmt w:val="bullet"/>
      <w:lvlText w:val="•"/>
      <w:lvlJc w:val="left"/>
      <w:pPr>
        <w:tabs>
          <w:tab w:val="num" w:pos="720"/>
        </w:tabs>
        <w:ind w:left="720" w:hanging="360"/>
      </w:pPr>
      <w:rPr>
        <w:rFonts w:ascii="Arial" w:hAnsi="Arial" w:hint="default"/>
      </w:rPr>
    </w:lvl>
    <w:lvl w:ilvl="1" w:tplc="EEB05B2C" w:tentative="1">
      <w:start w:val="1"/>
      <w:numFmt w:val="bullet"/>
      <w:lvlText w:val="•"/>
      <w:lvlJc w:val="left"/>
      <w:pPr>
        <w:tabs>
          <w:tab w:val="num" w:pos="1440"/>
        </w:tabs>
        <w:ind w:left="1440" w:hanging="360"/>
      </w:pPr>
      <w:rPr>
        <w:rFonts w:ascii="Arial" w:hAnsi="Arial" w:hint="default"/>
      </w:rPr>
    </w:lvl>
    <w:lvl w:ilvl="2" w:tplc="00FC25AA" w:tentative="1">
      <w:start w:val="1"/>
      <w:numFmt w:val="bullet"/>
      <w:lvlText w:val="•"/>
      <w:lvlJc w:val="left"/>
      <w:pPr>
        <w:tabs>
          <w:tab w:val="num" w:pos="2160"/>
        </w:tabs>
        <w:ind w:left="2160" w:hanging="360"/>
      </w:pPr>
      <w:rPr>
        <w:rFonts w:ascii="Arial" w:hAnsi="Arial" w:hint="default"/>
      </w:rPr>
    </w:lvl>
    <w:lvl w:ilvl="3" w:tplc="2E38AAF0" w:tentative="1">
      <w:start w:val="1"/>
      <w:numFmt w:val="bullet"/>
      <w:lvlText w:val="•"/>
      <w:lvlJc w:val="left"/>
      <w:pPr>
        <w:tabs>
          <w:tab w:val="num" w:pos="2880"/>
        </w:tabs>
        <w:ind w:left="2880" w:hanging="360"/>
      </w:pPr>
      <w:rPr>
        <w:rFonts w:ascii="Arial" w:hAnsi="Arial" w:hint="default"/>
      </w:rPr>
    </w:lvl>
    <w:lvl w:ilvl="4" w:tplc="5C3AAB14" w:tentative="1">
      <w:start w:val="1"/>
      <w:numFmt w:val="bullet"/>
      <w:lvlText w:val="•"/>
      <w:lvlJc w:val="left"/>
      <w:pPr>
        <w:tabs>
          <w:tab w:val="num" w:pos="3600"/>
        </w:tabs>
        <w:ind w:left="3600" w:hanging="360"/>
      </w:pPr>
      <w:rPr>
        <w:rFonts w:ascii="Arial" w:hAnsi="Arial" w:hint="default"/>
      </w:rPr>
    </w:lvl>
    <w:lvl w:ilvl="5" w:tplc="C13EF506" w:tentative="1">
      <w:start w:val="1"/>
      <w:numFmt w:val="bullet"/>
      <w:lvlText w:val="•"/>
      <w:lvlJc w:val="left"/>
      <w:pPr>
        <w:tabs>
          <w:tab w:val="num" w:pos="4320"/>
        </w:tabs>
        <w:ind w:left="4320" w:hanging="360"/>
      </w:pPr>
      <w:rPr>
        <w:rFonts w:ascii="Arial" w:hAnsi="Arial" w:hint="default"/>
      </w:rPr>
    </w:lvl>
    <w:lvl w:ilvl="6" w:tplc="7780C5DA" w:tentative="1">
      <w:start w:val="1"/>
      <w:numFmt w:val="bullet"/>
      <w:lvlText w:val="•"/>
      <w:lvlJc w:val="left"/>
      <w:pPr>
        <w:tabs>
          <w:tab w:val="num" w:pos="5040"/>
        </w:tabs>
        <w:ind w:left="5040" w:hanging="360"/>
      </w:pPr>
      <w:rPr>
        <w:rFonts w:ascii="Arial" w:hAnsi="Arial" w:hint="default"/>
      </w:rPr>
    </w:lvl>
    <w:lvl w:ilvl="7" w:tplc="F5600888" w:tentative="1">
      <w:start w:val="1"/>
      <w:numFmt w:val="bullet"/>
      <w:lvlText w:val="•"/>
      <w:lvlJc w:val="left"/>
      <w:pPr>
        <w:tabs>
          <w:tab w:val="num" w:pos="5760"/>
        </w:tabs>
        <w:ind w:left="5760" w:hanging="360"/>
      </w:pPr>
      <w:rPr>
        <w:rFonts w:ascii="Arial" w:hAnsi="Arial" w:hint="default"/>
      </w:rPr>
    </w:lvl>
    <w:lvl w:ilvl="8" w:tplc="92CC01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11"/>
  </w:num>
  <w:num w:numId="7">
    <w:abstractNumId w:val="3"/>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9"/>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1723EB"/>
    <w:rsid w:val="001830C8"/>
    <w:rsid w:val="001F724F"/>
    <w:rsid w:val="002030A4"/>
    <w:rsid w:val="00271010"/>
    <w:rsid w:val="00271BE1"/>
    <w:rsid w:val="003253DC"/>
    <w:rsid w:val="003630ED"/>
    <w:rsid w:val="003B6C3F"/>
    <w:rsid w:val="004A60FB"/>
    <w:rsid w:val="004C6FF6"/>
    <w:rsid w:val="0056305A"/>
    <w:rsid w:val="005703B7"/>
    <w:rsid w:val="005A4E47"/>
    <w:rsid w:val="005E396D"/>
    <w:rsid w:val="00603C3A"/>
    <w:rsid w:val="00617156"/>
    <w:rsid w:val="00661034"/>
    <w:rsid w:val="0077656C"/>
    <w:rsid w:val="00835B6E"/>
    <w:rsid w:val="00863529"/>
    <w:rsid w:val="0087304E"/>
    <w:rsid w:val="008966E2"/>
    <w:rsid w:val="008D6A7B"/>
    <w:rsid w:val="008E3FE7"/>
    <w:rsid w:val="00933E41"/>
    <w:rsid w:val="009A7C8E"/>
    <w:rsid w:val="009D1FFB"/>
    <w:rsid w:val="00A03CF0"/>
    <w:rsid w:val="00A4110D"/>
    <w:rsid w:val="00A734A5"/>
    <w:rsid w:val="00A74008"/>
    <w:rsid w:val="00A805DB"/>
    <w:rsid w:val="00A84D48"/>
    <w:rsid w:val="00A870E0"/>
    <w:rsid w:val="00AA3666"/>
    <w:rsid w:val="00AA3684"/>
    <w:rsid w:val="00B05B40"/>
    <w:rsid w:val="00C0074A"/>
    <w:rsid w:val="00C541A2"/>
    <w:rsid w:val="00C71107"/>
    <w:rsid w:val="00C86D10"/>
    <w:rsid w:val="00CB02C4"/>
    <w:rsid w:val="00CB3026"/>
    <w:rsid w:val="00CF55E9"/>
    <w:rsid w:val="00D5036D"/>
    <w:rsid w:val="00D65E51"/>
    <w:rsid w:val="00D82C18"/>
    <w:rsid w:val="00E13BE7"/>
    <w:rsid w:val="00E53DA2"/>
    <w:rsid w:val="00E64814"/>
    <w:rsid w:val="00E7344B"/>
    <w:rsid w:val="00E95703"/>
    <w:rsid w:val="00F00738"/>
    <w:rsid w:val="00F62A15"/>
    <w:rsid w:val="00FE1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1B01B9D8-A939-4A3B-8F40-9613DDA4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5E396D"/>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5E396D"/>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5E396D"/>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5E396D"/>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5E396D"/>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5E396D"/>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5E396D"/>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5E396D"/>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E396D"/>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sq-AL" w:eastAsia="de-DE"/>
    </w:rPr>
  </w:style>
  <w:style w:type="character" w:customStyle="1" w:styleId="bul1Char">
    <w:name w:val="bul1 Char"/>
    <w:link w:val="bul1"/>
    <w:locked/>
    <w:rsid w:val="00E7344B"/>
    <w:rPr>
      <w:rFonts w:ascii="Verdana" w:eastAsia="Calibri" w:hAnsi="Verdana" w:cs="Times New Roman"/>
      <w:sz w:val="18"/>
      <w:lang w:val="sq-AL"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5E396D"/>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5E396D"/>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5E396D"/>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5E396D"/>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5E396D"/>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5E396D"/>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5E396D"/>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5E39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E396D"/>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5E396D"/>
    <w:pPr>
      <w:numPr>
        <w:numId w:val="8"/>
      </w:numPr>
      <w:tabs>
        <w:tab w:val="left" w:pos="567"/>
      </w:tabs>
      <w:spacing w:line="280" w:lineRule="atLeast"/>
      <w:jc w:val="both"/>
    </w:pPr>
    <w:rPr>
      <w:rFonts w:ascii="Book Antiqua" w:eastAsia="Calibri" w:hAnsi="Book Antiqua"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314003">
      <w:bodyDiv w:val="1"/>
      <w:marLeft w:val="0"/>
      <w:marRight w:val="0"/>
      <w:marTop w:val="0"/>
      <w:marBottom w:val="0"/>
      <w:divBdr>
        <w:top w:val="none" w:sz="0" w:space="0" w:color="auto"/>
        <w:left w:val="none" w:sz="0" w:space="0" w:color="auto"/>
        <w:bottom w:val="none" w:sz="0" w:space="0" w:color="auto"/>
        <w:right w:val="none" w:sz="0" w:space="0" w:color="auto"/>
      </w:divBdr>
      <w:divsChild>
        <w:div w:id="645816892">
          <w:marLeft w:val="547"/>
          <w:marRight w:val="0"/>
          <w:marTop w:val="134"/>
          <w:marBottom w:val="0"/>
          <w:divBdr>
            <w:top w:val="none" w:sz="0" w:space="0" w:color="auto"/>
            <w:left w:val="none" w:sz="0" w:space="0" w:color="auto"/>
            <w:bottom w:val="none" w:sz="0" w:space="0" w:color="auto"/>
            <w:right w:val="none" w:sz="0" w:space="0" w:color="auto"/>
          </w:divBdr>
        </w:div>
        <w:div w:id="1591348898">
          <w:marLeft w:val="547"/>
          <w:marRight w:val="0"/>
          <w:marTop w:val="134"/>
          <w:marBottom w:val="0"/>
          <w:divBdr>
            <w:top w:val="none" w:sz="0" w:space="0" w:color="auto"/>
            <w:left w:val="none" w:sz="0" w:space="0" w:color="auto"/>
            <w:bottom w:val="none" w:sz="0" w:space="0" w:color="auto"/>
            <w:right w:val="none" w:sz="0" w:space="0" w:color="auto"/>
          </w:divBdr>
        </w:div>
        <w:div w:id="664666554">
          <w:marLeft w:val="547"/>
          <w:marRight w:val="0"/>
          <w:marTop w:val="134"/>
          <w:marBottom w:val="0"/>
          <w:divBdr>
            <w:top w:val="none" w:sz="0" w:space="0" w:color="auto"/>
            <w:left w:val="none" w:sz="0" w:space="0" w:color="auto"/>
            <w:bottom w:val="none" w:sz="0" w:space="0" w:color="auto"/>
            <w:right w:val="none" w:sz="0" w:space="0" w:color="auto"/>
          </w:divBdr>
        </w:div>
        <w:div w:id="390078695">
          <w:marLeft w:val="547"/>
          <w:marRight w:val="0"/>
          <w:marTop w:val="134"/>
          <w:marBottom w:val="0"/>
          <w:divBdr>
            <w:top w:val="none" w:sz="0" w:space="0" w:color="auto"/>
            <w:left w:val="none" w:sz="0" w:space="0" w:color="auto"/>
            <w:bottom w:val="none" w:sz="0" w:space="0" w:color="auto"/>
            <w:right w:val="none" w:sz="0" w:space="0" w:color="auto"/>
          </w:divBdr>
        </w:div>
      </w:divsChild>
    </w:div>
    <w:div w:id="1265384840">
      <w:bodyDiv w:val="1"/>
      <w:marLeft w:val="0"/>
      <w:marRight w:val="0"/>
      <w:marTop w:val="0"/>
      <w:marBottom w:val="0"/>
      <w:divBdr>
        <w:top w:val="none" w:sz="0" w:space="0" w:color="auto"/>
        <w:left w:val="none" w:sz="0" w:space="0" w:color="auto"/>
        <w:bottom w:val="none" w:sz="0" w:space="0" w:color="auto"/>
        <w:right w:val="none" w:sz="0" w:space="0" w:color="auto"/>
      </w:divBdr>
      <w:divsChild>
        <w:div w:id="840585647">
          <w:marLeft w:val="547"/>
          <w:marRight w:val="0"/>
          <w:marTop w:val="113"/>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Mark Cameron</cp:lastModifiedBy>
  <cp:revision>14</cp:revision>
  <dcterms:created xsi:type="dcterms:W3CDTF">2017-05-31T06:50:00Z</dcterms:created>
  <dcterms:modified xsi:type="dcterms:W3CDTF">2020-09-16T12:27:00Z</dcterms:modified>
</cp:coreProperties>
</file>