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DD02D" w14:textId="427ABD27" w:rsidR="00D82C18" w:rsidRPr="00B3608C" w:rsidRDefault="00B3608C" w:rsidP="000F7896">
      <w:pPr>
        <w:rPr>
          <w:rFonts w:ascii="Verdana" w:hAnsi="Verdana"/>
        </w:rPr>
      </w:pPr>
      <w:r>
        <w:rPr>
          <w:sz w:val="28"/>
          <w:rFonts w:ascii="Verdana" w:hAnsi="Verdana"/>
        </w:rPr>
        <w:t xml:space="preserve">Mësimi 1.6 </w:t>
      </w:r>
      <w:r>
        <w:rPr>
          <w:sz w:val="28"/>
          <w:color w:val="000000" w:themeColor="text1"/>
          <w:rFonts w:ascii="Verdana" w:hAnsi="Verdana"/>
        </w:rPr>
        <w:t xml:space="preserve">i Konventës së Budapestit</w:t>
      </w:r>
      <w:r>
        <w:rPr>
          <w:sz w:val="28"/>
          <w:rFonts w:ascii="Verdana" w:hAnsi="Verdana"/>
        </w:rPr>
        <w:t xml:space="preserve">:</w:t>
      </w:r>
      <w:r>
        <w:rPr>
          <w:sz w:val="28"/>
          <w:color w:val="000000" w:themeColor="text1"/>
          <w:rFonts w:ascii="Verdana" w:hAnsi="Verdana"/>
        </w:rPr>
        <w:t xml:space="preserve"> </w:t>
      </w:r>
      <w:r>
        <w:rPr>
          <w:sz w:val="28"/>
          <w:color w:val="000000" w:themeColor="text1"/>
          <w:rFonts w:ascii="Verdana" w:hAnsi="Verdana"/>
        </w:rPr>
        <w:t xml:space="preserve">Përmbledhje</w:t>
      </w:r>
      <w:r>
        <w:rPr>
          <w:sz w:val="28"/>
          <w:color w:val="000000" w:themeColor="text1"/>
          <w:rFonts w:ascii="Verdana" w:hAnsi="Verdana"/>
        </w:rPr>
        <w:t xml:space="preserve"> </w:t>
      </w:r>
    </w:p>
    <w:p w14:paraId="1D0E3DC5" w14:textId="77777777" w:rsidR="00C115FC" w:rsidRPr="00C115FC" w:rsidRDefault="00C115FC" w:rsidP="00C115FC">
      <w:pPr>
        <w:ind w:left="360"/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D82C18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0067FF35" w14:textId="6D61419A" w:rsidR="00D82C18" w:rsidRPr="00D82C18" w:rsidRDefault="00C115FC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Mësimi 1.6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i Konventës së Budapestit</w:t>
            </w:r>
            <w:r>
              <w:rPr>
                <w:sz w:val="22"/>
                <w:rFonts w:ascii="Verdana" w:hAnsi="Verdana"/>
              </w:rPr>
              <w:t xml:space="preserve">: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Përmbledhje</w:t>
            </w: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179EE6C3" w:rsidR="00D82C18" w:rsidRPr="00D82C18" w:rsidRDefault="00D82C18" w:rsidP="00C115FC">
            <w:pPr>
              <w:rPr>
                <w:sz w:val="22"/>
                <w:szCs w:val="22"/>
                <w:rFonts w:ascii="Verdana" w:hAnsi="Verdana"/>
              </w:rPr>
            </w:pPr>
            <w:r>
              <w:rPr>
                <w:sz w:val="22"/>
                <w:rFonts w:ascii="Verdana" w:hAnsi="Verdana"/>
              </w:rPr>
              <w:t xml:space="preserve">Kohëzgjatja:</w:t>
            </w:r>
            <w:r>
              <w:rPr>
                <w:sz w:val="22"/>
                <w:rFonts w:ascii="Verdana" w:hAnsi="Verdana"/>
              </w:rPr>
              <w:t xml:space="preserve"> 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45 minuta</w:t>
            </w:r>
            <w:r>
              <w:rPr>
                <w:sz w:val="22"/>
                <w:color w:val="000000" w:themeColor="text1"/>
                <w:rFonts w:ascii="Verdana" w:hAnsi="Verdana"/>
              </w:rPr>
              <w:t xml:space="preserve"> </w:t>
            </w:r>
          </w:p>
        </w:tc>
      </w:tr>
      <w:tr w:rsidR="00E7344B" w:rsidRPr="00D82C18" w14:paraId="7C1107AB" w14:textId="77777777" w:rsidTr="00A439ED">
        <w:trPr>
          <w:trHeight w:val="1727"/>
        </w:trPr>
        <w:tc>
          <w:tcPr>
            <w:tcW w:w="9010" w:type="dxa"/>
            <w:gridSpan w:val="3"/>
            <w:vAlign w:val="center"/>
          </w:tcPr>
          <w:p w14:paraId="0B1C3404" w14:textId="53612A3F" w:rsidR="00E7344B" w:rsidRPr="000F7896" w:rsidRDefault="00E7344B" w:rsidP="000F7896">
            <w:pPr>
              <w:spacing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Burimet e nevojshme:</w:t>
            </w:r>
            <w:r>
              <w:rPr>
                <w:b/>
                <w:sz w:val="22"/>
                <w:rFonts w:ascii="Verdana" w:hAnsi="Verdana"/>
              </w:rPr>
              <w:t xml:space="preserve"> </w:t>
            </w:r>
          </w:p>
          <w:p w14:paraId="060400D8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PC/Laptop ngarkuar me versione softuerësh të pajtueshëm me materialet e përgatitura</w:t>
            </w:r>
            <w:r>
              <w:t xml:space="preserve"> </w:t>
            </w:r>
          </w:p>
          <w:p w14:paraId="62A10C2C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Qasje në internet (nëse ka)</w:t>
            </w:r>
            <w:r>
              <w:t xml:space="preserve"> </w:t>
            </w:r>
          </w:p>
          <w:p w14:paraId="575CEC8B" w14:textId="7FC1824F" w:rsidR="000F7896" w:rsidRPr="00AC1380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PowerPoint apo prezantime tjera</w:t>
            </w:r>
            <w:r>
              <w:t xml:space="preserve"> </w:t>
            </w:r>
          </w:p>
          <w:p w14:paraId="3DB10AE8" w14:textId="155852A6" w:rsidR="00AC1380" w:rsidRPr="000F7896" w:rsidRDefault="00AC1380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Sistem zërimi</w:t>
            </w:r>
          </w:p>
          <w:p w14:paraId="14CF9EF0" w14:textId="1ED885BC" w:rsidR="000F7896" w:rsidRPr="00A439ED" w:rsidRDefault="000F7896" w:rsidP="00A439ED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Kopje e Konventës së Budapestit</w:t>
            </w:r>
          </w:p>
        </w:tc>
      </w:tr>
      <w:tr w:rsidR="00E7344B" w:rsidRPr="00D82C18" w14:paraId="635F2EFD" w14:textId="77777777" w:rsidTr="00F1574D">
        <w:trPr>
          <w:trHeight w:val="2879"/>
        </w:trPr>
        <w:tc>
          <w:tcPr>
            <w:tcW w:w="9010" w:type="dxa"/>
            <w:gridSpan w:val="3"/>
            <w:vAlign w:val="center"/>
          </w:tcPr>
          <w:p w14:paraId="34602AF3" w14:textId="77777777" w:rsidR="00A03CF0" w:rsidRDefault="00A03CF0" w:rsidP="00F62A15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Qëllimi i seancës:</w:t>
            </w:r>
            <w:r>
              <w:rPr>
                <w:b/>
                <w:sz w:val="22"/>
                <w:rFonts w:ascii="Verdana" w:hAnsi="Verdana"/>
              </w:rPr>
              <w:t xml:space="preserve">  </w:t>
            </w:r>
          </w:p>
          <w:p w14:paraId="3FE58655" w14:textId="21C214A6" w:rsidR="00A03CF0" w:rsidRPr="000F7896" w:rsidRDefault="00BA7368" w:rsidP="00FA5D5D">
            <w:pPr>
              <w:spacing w:before="120" w:after="120" w:line="280" w:lineRule="exact"/>
              <w:jc w:val="both"/>
              <w:rPr>
                <w:i/>
                <w:color w:val="FF0000"/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Qëllimi i kësaj seance është t'u ofrojë pjesëmarrësve një përmbledhje të Konventës së Budapestit.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Konventa e Budapestit është traktati i vetëm global mbi krimin kibernetik dhe provat elektronike që ka 65 palë nga të gjitha pjesët e botës.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Kjo seancë ofron një përmbledhje të nivelit të lartë të dispozitave në Konventën e Budapestit, përfshirë ligjin material, ligjin procedural dhe dispozitat e bashkëpunimit ndërkombëtar.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Ajo shpjegon se si Konventa e Budapestit ka të gjitha elementet themelore që janë të nevojshëm për çdo traktat të krimit kibernetik.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Ajo përshkruan përfitimet praktike që kanë pasur palët e Konventës së Budapestit, duke përfshirë ligjet e brendshme të përmirësuara, hetimet e brendshme të zgjeruara, një mekanizëm ligjor të bashkëpunimit ndërkombëtar, programin e ndërtimit të kapaciteteve dhe qasjen në një rrjet për praktikuesit ndërkombëtarë.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Seanca gjithashtu mënjanon idetë e gabuara që ekzistojnë zakonisht në lidhje me Konventën e Budapestit.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</w:tc>
      </w:tr>
      <w:tr w:rsidR="00A03CF0" w:rsidRPr="00D82C18" w14:paraId="1B5A80A7" w14:textId="77777777" w:rsidTr="001E7389">
        <w:trPr>
          <w:trHeight w:val="983"/>
        </w:trPr>
        <w:tc>
          <w:tcPr>
            <w:tcW w:w="9010" w:type="dxa"/>
            <w:gridSpan w:val="3"/>
            <w:vAlign w:val="center"/>
          </w:tcPr>
          <w:p w14:paraId="559A7E05" w14:textId="77777777" w:rsidR="00A03CF0" w:rsidRPr="00271010" w:rsidRDefault="00271010" w:rsidP="00F62A15">
            <w:pPr>
              <w:spacing w:before="120" w:after="120" w:line="280" w:lineRule="exact"/>
              <w:contextualSpacing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Objektivat:</w:t>
            </w:r>
          </w:p>
          <w:p w14:paraId="7552C5F6" w14:textId="77777777" w:rsidR="000F7896" w:rsidRPr="00AC1380" w:rsidRDefault="000F7896" w:rsidP="000F7896">
            <w:pPr>
              <w:tabs>
                <w:tab w:val="left" w:pos="426"/>
                <w:tab w:val="left" w:pos="851"/>
              </w:tabs>
              <w:rPr>
                <w:sz w:val="18"/>
                <w:szCs w:val="18"/>
                <w:rFonts w:ascii="Verdana" w:eastAsia="Times New Roman" w:hAnsi="Verdana" w:cs="Times New Roman"/>
              </w:rPr>
            </w:pPr>
            <w:r>
              <w:rPr>
                <w:sz w:val="18"/>
                <w:rFonts w:ascii="Verdana" w:hAnsi="Verdana"/>
              </w:rPr>
              <w:t xml:space="preserve">Deri në fund të kësaj seance pjesëmarrësit do të jenë në gjendje të:</w:t>
            </w:r>
          </w:p>
          <w:p w14:paraId="7F1AE0C9" w14:textId="77777777" w:rsidR="00437AF3" w:rsidRPr="00AC1380" w:rsidRDefault="007E3B3E" w:rsidP="007E3B3E">
            <w:pPr>
              <w:pStyle w:val="bul1"/>
              <w:numPr>
                <w:ilvl w:val="0"/>
                <w:numId w:val="11"/>
              </w:numPr>
              <w:rPr>
                <w:szCs w:val="18"/>
              </w:rPr>
            </w:pPr>
            <w:r>
              <w:t xml:space="preserve">Kuptojnë fushëveprimin e Konventës së Budapestit</w:t>
            </w:r>
            <w:r>
              <w:t xml:space="preserve"> </w:t>
            </w:r>
          </w:p>
          <w:p w14:paraId="24045D2F" w14:textId="77777777" w:rsidR="00437AF3" w:rsidRPr="00AC1380" w:rsidRDefault="007E3B3E" w:rsidP="007E3B3E">
            <w:pPr>
              <w:pStyle w:val="bul1"/>
              <w:numPr>
                <w:ilvl w:val="0"/>
                <w:numId w:val="11"/>
              </w:numPr>
              <w:rPr>
                <w:szCs w:val="18"/>
              </w:rPr>
            </w:pPr>
            <w:r>
              <w:t xml:space="preserve">Mësojnë sa anëtarë ka Konventa e Budapestit</w:t>
            </w:r>
            <w:r>
              <w:t xml:space="preserve"> </w:t>
            </w:r>
          </w:p>
          <w:p w14:paraId="43869329" w14:textId="77777777" w:rsidR="00437AF3" w:rsidRPr="00AC1380" w:rsidRDefault="007E3B3E" w:rsidP="007E3B3E">
            <w:pPr>
              <w:pStyle w:val="bul1"/>
              <w:numPr>
                <w:ilvl w:val="0"/>
                <w:numId w:val="11"/>
              </w:numPr>
              <w:rPr>
                <w:szCs w:val="18"/>
              </w:rPr>
            </w:pPr>
            <w:r>
              <w:t xml:space="preserve">Njohin pikat themelore të traktatit për krime kibernetike</w:t>
            </w:r>
            <w:r>
              <w:t xml:space="preserve"> </w:t>
            </w:r>
          </w:p>
          <w:p w14:paraId="61ABEAC5" w14:textId="56778DC5" w:rsidR="001E7389" w:rsidRPr="001E7389" w:rsidRDefault="007E3B3E" w:rsidP="007E3B3E">
            <w:pPr>
              <w:pStyle w:val="bul1"/>
              <w:numPr>
                <w:ilvl w:val="0"/>
                <w:numId w:val="11"/>
              </w:numPr>
            </w:pPr>
            <w:r>
              <w:t xml:space="preserve">Kuptojnë përfitimet e Konventës së Budapestit dhe adresojnë keqkuptimet e zakonshme në lidhje me Konventën e Budapestit</w:t>
            </w:r>
          </w:p>
        </w:tc>
      </w:tr>
      <w:tr w:rsidR="005703B7" w:rsidRPr="00D82C18" w14:paraId="03110757" w14:textId="77777777" w:rsidTr="00E31F52">
        <w:trPr>
          <w:trHeight w:val="5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77777777" w:rsidR="005703B7" w:rsidRPr="002F3B54" w:rsidRDefault="00E95703" w:rsidP="00F62A15">
            <w:pPr>
              <w:spacing w:before="120" w:after="120" w:line="280" w:lineRule="exact"/>
              <w:rPr>
                <w:b/>
                <w:color w:val="000000" w:themeColor="text1"/>
                <w:sz w:val="22"/>
                <w:szCs w:val="22"/>
                <w:rFonts w:ascii="Verdana" w:hAnsi="Verdana"/>
              </w:rPr>
            </w:pPr>
            <w:r>
              <w:rPr>
                <w:b/>
                <w:color w:val="000000" w:themeColor="text1"/>
                <w:sz w:val="22"/>
                <w:rFonts w:ascii="Verdana" w:hAnsi="Verdana"/>
              </w:rPr>
              <w:t xml:space="preserve">Udhëzimi për trajnerë</w:t>
            </w:r>
          </w:p>
          <w:p w14:paraId="07BEE2FF" w14:textId="77777777" w:rsidR="00E31F52" w:rsidRDefault="00AC1380" w:rsidP="00E31F52">
            <w:pPr>
              <w:spacing w:before="120" w:after="120" w:line="280" w:lineRule="exact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Kjo seancë është një shtesë e re në kursin hyrës gjyqësor të Këshillit të Evropës.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  <w:p w14:paraId="2B89D842" w14:textId="78234065" w:rsidR="00E31F52" w:rsidRDefault="00E31F52" w:rsidP="00E31F52">
            <w:pPr>
              <w:spacing w:before="120" w:after="120" w:line="280" w:lineRule="exact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Rekomandohet që përveç këtij plani mësimor dhe slajdeve, trajneri të studiojë edhe raportin T-CY </w:t>
            </w:r>
            <w:hyperlink r:id="rId5" w:history="1">
              <w:r>
                <w:rPr>
                  <w:rStyle w:val="Hyperlink"/>
                  <w:b/>
                  <w:sz w:val="18"/>
                  <w:rFonts w:ascii="Verdana" w:hAnsi="Verdana"/>
                </w:rPr>
                <w:t xml:space="preserve">Konventa e Budapestit për Krime Kibernetike: përfitimet dhe ndikimi në praktikë</w:t>
              </w:r>
            </w:hyperlink>
            <w:r>
              <w:rPr>
                <w:color w:val="000000" w:themeColor="text1"/>
                <w:sz w:val="18"/>
                <w:rFonts w:ascii="Verdana" w:hAnsi="Verdana"/>
              </w:rPr>
              <w:t xml:space="preserve">, pasi që kjo është pjesë e rëndësishme e kësaj seance.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Nëse ka interes shtesë se si vendet kanë përfituar nga Konventa e Budapestit, trajneri mund të ndajë çdo pjesë përkatëse të raportit me pjesëmarrësit.</w:t>
            </w:r>
          </w:p>
          <w:p w14:paraId="51D910FF" w14:textId="35197CB5" w:rsidR="00FF2976" w:rsidRDefault="00E31F52" w:rsidP="00E31F52">
            <w:pPr>
              <w:spacing w:before="120" w:after="120" w:line="280" w:lineRule="exact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Meqenëse qëllimi kryesor i kësaj seance është të sigurojë një përmbledhje të Konventës së Budapestit dhe adresimin e çdo keqkuptimi të pjesëmarrësve në lidhje me Konventën e Budapestit dhe fushëveprimin e saj, trajneri mund të dëshirojë të fillojë seancën duke pyetur pjesëmarrësit se çfarë dinë për Konventën e Budapestit.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Kjo jo vetëm që do të lejojë trajnerin të kryejë një vlerësim me para-test, por gjithashtu të vlerësojë në fund të trajnimit nëse pjesëmarrësit kanë mësuar ndonjë gjë të re në lidhje me Konventën e Budapestit.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  <w:p w14:paraId="5EFF4BEF" w14:textId="65D1EE77" w:rsidR="00FF2976" w:rsidRPr="00E31F52" w:rsidRDefault="00FF2976" w:rsidP="00AC1380">
            <w:pPr>
              <w:spacing w:before="120" w:after="120" w:line="280" w:lineRule="exact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Kur prezantohet seksioni 4 i këtij moduli, trajneri duhet të inkurajojë pjesëmarrësit të përfshihen në një diskutim rreth keqkuptimeve të mundshme që ata kanë në lidhje me Konventën e Budapestit.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Kjo do të ndihmojë në sigurimin që seanca të mbetet interaktive për pjesëmarrësit dhe gjithashtu do të ndihmojë trajnerin të vlerësojë se cilat ‘mite’ duhen adresuar në mënyrë më gjithëpërfshirëse.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</w:tc>
      </w:tr>
      <w:tr w:rsidR="005A4E47" w:rsidRPr="00D82C18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CB3026" w:rsidRDefault="005A4E47" w:rsidP="00CB3026">
            <w:pPr>
              <w:rPr>
                <w:b/>
                <w:sz w:val="28"/>
                <w:szCs w:val="28"/>
                <w:rFonts w:ascii="Verdana" w:hAnsi="Verdana"/>
              </w:rPr>
            </w:pPr>
            <w:r>
              <w:rPr>
                <w:b/>
                <w:sz w:val="28"/>
                <w:rFonts w:ascii="Verdana" w:hAnsi="Verdana"/>
              </w:rPr>
              <w:t xml:space="preserve">Përmbajtja e Mësimit</w:t>
            </w:r>
          </w:p>
        </w:tc>
      </w:tr>
      <w:tr w:rsidR="00F1574D" w:rsidRPr="00D82C18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7777777" w:rsidR="00D82C18" w:rsidRPr="00E13BE7" w:rsidRDefault="00E13BE7" w:rsidP="00CB3026">
            <w:pPr>
              <w:jc w:val="center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Numrat e slajdeve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E13BE7" w:rsidRDefault="00E13BE7">
            <w:pPr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Përmbajtja</w:t>
            </w:r>
          </w:p>
        </w:tc>
      </w:tr>
      <w:tr w:rsidR="00F1574D" w:rsidRPr="00D82C18" w14:paraId="11A12D7E" w14:textId="77777777" w:rsidTr="000F04E4">
        <w:trPr>
          <w:trHeight w:val="591"/>
        </w:trPr>
        <w:tc>
          <w:tcPr>
            <w:tcW w:w="1525" w:type="dxa"/>
            <w:vAlign w:val="center"/>
          </w:tcPr>
          <w:p w14:paraId="67083237" w14:textId="207A1282" w:rsidR="00D82C18" w:rsidRDefault="003630E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 deri 4</w:t>
            </w:r>
          </w:p>
          <w:p w14:paraId="5A89CF27" w14:textId="6863FBB0" w:rsidR="00F1574D" w:rsidRPr="00F62A15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36345B59" w14:textId="4EFB5D9E" w:rsidR="00556D69" w:rsidRPr="00C70C5C" w:rsidRDefault="00556D69" w:rsidP="00314D32">
            <w:pPr>
              <w:spacing w:before="120" w:after="120" w:line="360" w:lineRule="auto"/>
              <w:jc w:val="both"/>
              <w:rPr>
                <w:color w:val="000000" w:themeColor="text1"/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Slajdet e para janë hyrja në seancë dhe përfshijnë agjendën dhe objektivat e seancës.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</w:tc>
      </w:tr>
      <w:tr w:rsidR="00F1574D" w:rsidRPr="00D82C18" w14:paraId="65F07CB5" w14:textId="77777777" w:rsidTr="00F1574D">
        <w:trPr>
          <w:trHeight w:val="1880"/>
        </w:trPr>
        <w:tc>
          <w:tcPr>
            <w:tcW w:w="1525" w:type="dxa"/>
            <w:vAlign w:val="center"/>
          </w:tcPr>
          <w:p w14:paraId="56AF6365" w14:textId="585D1892" w:rsidR="00D82C18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5 deri 12</w:t>
            </w:r>
          </w:p>
          <w:p w14:paraId="6F5AEB2D" w14:textId="242338E2" w:rsidR="00F1574D" w:rsidRPr="003630ED" w:rsidRDefault="00BA7368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03BAFCE9" w14:textId="77777777" w:rsidR="0062475C" w:rsidRPr="0062475C" w:rsidRDefault="00881F77" w:rsidP="00314D32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Këto slajde japin një pasqyrë të fushëveprimit dhe shtrirjes së Konventës së Budapestit.</w:t>
            </w:r>
            <w:r>
              <w:rPr>
                <w:rFonts w:ascii="Verdana" w:hAnsi="Verdana"/>
              </w:rPr>
              <w:t xml:space="preserve"> </w:t>
            </w:r>
          </w:p>
          <w:p w14:paraId="0D56FA49" w14:textId="77777777" w:rsidR="0062475C" w:rsidRPr="0062475C" w:rsidRDefault="0062475C" w:rsidP="00314D32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Disa slajde të para tregojnë "tri këmbët" e Konventës së Budapestit (d.m.th. Sjellja kriminalizuese, mjetet procedurale dhe bashkëpunimi ndërkombëtar), të cilat trajneri duhet t’i përmend dhe do të trajtohen në detaje në seancat pasuese.</w:t>
            </w:r>
            <w:r>
              <w:rPr>
                <w:rFonts w:ascii="Verdana" w:hAnsi="Verdana"/>
              </w:rPr>
              <w:t xml:space="preserve"> </w:t>
            </w:r>
          </w:p>
          <w:p w14:paraId="649FEA68" w14:textId="509619C6" w:rsidR="0062475C" w:rsidRPr="00CB708C" w:rsidRDefault="0062475C" w:rsidP="00CB708C">
            <w:pPr>
              <w:pStyle w:val="Subtitle"/>
              <w:spacing w:line="360" w:lineRule="auto"/>
              <w:rPr>
                <w:szCs w:val="18"/>
                <w:rFonts w:ascii="Verdana" w:eastAsia="Times New Roman" w:hAnsi="Verdana"/>
              </w:rPr>
            </w:pPr>
            <w:r>
              <w:rPr>
                <w:rFonts w:ascii="Verdana" w:hAnsi="Verdana"/>
              </w:rPr>
              <w:t xml:space="preserve">Grupi tjetër i slajdeve fokuson qasjen e Këshillit të Evropës dhe projekteve të ndryshme që janë iniciuar që kur Zyra e Programit të Krimit Kibernetik (C-PROC) u bë operative në vitin 2014.</w:t>
            </w:r>
          </w:p>
        </w:tc>
      </w:tr>
      <w:tr w:rsidR="00F1574D" w:rsidRPr="00D82C18" w14:paraId="15587DD6" w14:textId="77777777" w:rsidTr="00F1574D">
        <w:trPr>
          <w:trHeight w:val="1916"/>
        </w:trPr>
        <w:tc>
          <w:tcPr>
            <w:tcW w:w="1525" w:type="dxa"/>
            <w:vAlign w:val="center"/>
          </w:tcPr>
          <w:p w14:paraId="5EBB803A" w14:textId="789F83BB" w:rsidR="00556D69" w:rsidRPr="0084446A" w:rsidRDefault="0045630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13 deri 21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  <w:p w14:paraId="65C32028" w14:textId="48F00C89" w:rsidR="00F1574D" w:rsidRPr="0084446A" w:rsidRDefault="00A55067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rëndësishme</w:t>
            </w:r>
          </w:p>
        </w:tc>
        <w:tc>
          <w:tcPr>
            <w:tcW w:w="7485" w:type="dxa"/>
            <w:gridSpan w:val="2"/>
            <w:vAlign w:val="center"/>
          </w:tcPr>
          <w:p w14:paraId="45342F76" w14:textId="77777777" w:rsidR="00C70C5C" w:rsidRDefault="0084446A" w:rsidP="00CB708C">
            <w:pPr>
              <w:spacing w:line="360" w:lineRule="auto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Këto slajde mbulojnë bazat e një traktati të krimit kibernetik.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Qëllimi i këtyre slajdeve është të tregojnë se Konventa e Budapestit është i vetmi traktat global i krimit kibernetik që ka të gjitha bazat e një traktati të krimit kibernetik.</w:t>
            </w:r>
            <w:r>
              <w:rPr>
                <w:sz w:val="18"/>
                <w:rFonts w:ascii="Verdana" w:hAnsi="Verdana"/>
              </w:rPr>
              <w:t xml:space="preserve"> </w:t>
            </w:r>
          </w:p>
          <w:p w14:paraId="09B58FC0" w14:textId="6FDCBDC5" w:rsidR="00637AFB" w:rsidRPr="0084446A" w:rsidRDefault="00D669F8" w:rsidP="00D669F8">
            <w:pPr>
              <w:spacing w:line="360" w:lineRule="auto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Grupi i parë i slajdeve ofron një pasqyrë të nivelit të lartë të peizazhit ndërkombëtar, i cili përfshin konventat e UNODC (UNCTOC dhe UNCAC), Organizatën e Bashkëpunimit të Shangait (Marrëveshja për Bashkëpunim në Fushën e Sigurisë së Informacionit), Komonuelthin (Modeli i Krimit Kompjuterik dhe lidhur me Kompjuterët - Ligji dhe Skema e Komonuelthit në lidhje me Ndihmën e Ndërsjellë në Çështjet Penale brenda Komonuelthit - Skema Harare), modelet ITU (ICT4PAC/SADC/HIPCAR Ligjet model), Bashkimi Afrikan (Konventa Malabo e Sigurisë Kibernetike dhe Mbrojtja e të Dhënave Personale) dhe Liga Arabe (Konventa për Luftimin e Veprave Penale lidhur me Teknologjinë e Informacionit).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Më pas slajdet përshkruajnë nëse këto instrumente janë gjithëpërfshirëse për qëllimet e luftimit të krimit kibernetik dhe provave elektronike.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Trajneri duhet të kalojë nëpër diagramet qarkore të animuara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Nëse ndonjë pjesëz ndizet me të verdhë, ajo nënkupton se instrumenti mbulon në mënyrë adekuate atë element.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Nëse ndonjë pjesëz ndizet me pika të kuqe, ajo nënkupton se instrumenti mbulon të paktën pjesërisht atë element.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Nëse ndonjë pjesëz nuk ndizet, ajo nënkupton se elementi nuk është mbuluar.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Këtu është e rëndësishme që trajneri të theksojë se këto instrumente mund të sjellin vlerë dhe të plotësojnë Konventën e Budapestit.</w:t>
            </w:r>
          </w:p>
        </w:tc>
      </w:tr>
      <w:tr w:rsidR="00F1574D" w:rsidRPr="00D82C18" w14:paraId="4F010995" w14:textId="77777777" w:rsidTr="00F1574D">
        <w:trPr>
          <w:trHeight w:val="791"/>
        </w:trPr>
        <w:tc>
          <w:tcPr>
            <w:tcW w:w="1525" w:type="dxa"/>
            <w:vAlign w:val="center"/>
          </w:tcPr>
          <w:p w14:paraId="15E808BA" w14:textId="73CF36B7" w:rsidR="00556D69" w:rsidRDefault="0045630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22 deri 32</w:t>
            </w:r>
          </w:p>
          <w:p w14:paraId="48504862" w14:textId="307D4B02" w:rsidR="00C70C5C" w:rsidRDefault="00C70C5C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3B6B812F" w14:textId="77777777" w:rsidR="00C70C5C" w:rsidRDefault="00D57822" w:rsidP="0045630D">
            <w:pPr>
              <w:spacing w:line="360" w:lineRule="auto"/>
              <w:jc w:val="both"/>
              <w:rPr>
                <w:iCs/>
                <w:color w:val="000000" w:themeColor="text1"/>
                <w:sz w:val="18"/>
                <w:rFonts w:ascii="Verdana" w:eastAsia="Times New Roman" w:hAnsi="Verdana" w:cstheme="majorBidi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Këto slajde paraqesin dobitë kryesore të Konventës së Budapestit.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Këto slajde janë bazuar në raportin e T-CY-së mbi përfitimet dhe ndikimet e Konventës së Budapestit.</w:t>
            </w:r>
          </w:p>
          <w:p w14:paraId="7A2E1016" w14:textId="6F39ED0C" w:rsidR="00D57822" w:rsidRDefault="00D57822" w:rsidP="0045630D">
            <w:pPr>
              <w:spacing w:line="360" w:lineRule="auto"/>
              <w:jc w:val="both"/>
              <w:rPr>
                <w:iCs/>
                <w:color w:val="000000" w:themeColor="text1"/>
                <w:sz w:val="18"/>
                <w:rFonts w:ascii="Verdana" w:eastAsia="Times New Roman" w:hAnsi="Verdana" w:cstheme="majorBidi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Slajdi i parë përmban një video të shkurtër të Këshillit të Evropës e cila përmbledh përfitimet kryesore dhe ndikimet që janë përshkruar në raport.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  <w:p w14:paraId="2DD16BAE" w14:textId="05E5D113" w:rsidR="009E1A27" w:rsidRDefault="009E1A27" w:rsidP="0045630D">
            <w:pPr>
              <w:spacing w:line="360" w:lineRule="auto"/>
              <w:jc w:val="both"/>
              <w:rPr>
                <w:iCs/>
                <w:color w:val="000000" w:themeColor="text1"/>
                <w:sz w:val="18"/>
                <w:rFonts w:ascii="Verdana" w:eastAsia="Times New Roman" w:hAnsi="Verdana" w:cstheme="majorBidi"/>
              </w:rPr>
            </w:pPr>
            <w:r>
              <w:rPr>
                <w:sz w:val="18"/>
                <w:color w:val="000000" w:themeColor="text1"/>
                <w:rFonts w:ascii="Verdana" w:hAnsi="Verdana"/>
              </w:rPr>
              <w:t xml:space="preserve">Grupi tjetër i slajdeve përshkruan se si Konventa e Budapestit ka çuar në përmirësimin e legjislacionit vendas, zgjerimin e hetimeve të brendshme, lehtësimin e bashkëpunimit ndërkombëtar dhe ka çuar në rritjen e kapaciteteve.</w:t>
            </w:r>
            <w:r>
              <w:rPr>
                <w:sz w:val="18"/>
                <w:color w:val="000000" w:themeColor="text1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Këto slajde gjithashtu nënvizojnë arritjen e Konventës së Budapestit, duke siguruar informacion në lidhje me numrin e përgjithshëm të shteteve që kanë ratifikuar Konventën e Budapestit.</w:t>
            </w:r>
            <w:r>
              <w:rPr>
                <w:sz w:val="18"/>
                <w:color w:val="000000" w:themeColor="text1"/>
                <w:rFonts w:ascii="Verdana" w:hAnsi="Verdana"/>
              </w:rPr>
              <w:t xml:space="preserve"> </w:t>
            </w:r>
          </w:p>
          <w:p w14:paraId="4AF5B3D7" w14:textId="7CD9924B" w:rsidR="00CB708C" w:rsidRPr="00C70C5C" w:rsidRDefault="009E1A27" w:rsidP="0045630D">
            <w:pPr>
              <w:spacing w:line="360" w:lineRule="auto"/>
              <w:jc w:val="both"/>
              <w:rPr>
                <w:iCs/>
                <w:color w:val="000000" w:themeColor="text1"/>
                <w:sz w:val="18"/>
                <w:rFonts w:ascii="Verdana" w:eastAsia="Times New Roman" w:hAnsi="Verdana" w:cstheme="majorBidi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Trajneri mund të dëshirojë të inkurajojë një diskutim ndërmjet pjesëmarrësve rreth asaj se si Konventa e Budapestit u ka sjellë përfitime vendit të tyre, duke u kërkuar pjesëmarrësve të ndajnë shembuj specifik të rasteve kur Konventa e Budapestit është përdorur në lidhje me krimin kibernetik dhe provat elektronike.</w:t>
            </w:r>
            <w:r>
              <w:rPr>
                <w:color w:val="000000" w:themeColor="text1"/>
                <w:sz w:val="18"/>
                <w:rFonts w:ascii="Verdana" w:hAnsi="Verdana"/>
              </w:rPr>
              <w:t xml:space="preserve"> </w:t>
            </w:r>
          </w:p>
        </w:tc>
      </w:tr>
      <w:tr w:rsidR="00F1574D" w:rsidRPr="00D82C18" w14:paraId="3C4A313A" w14:textId="77777777" w:rsidTr="00F1574D">
        <w:trPr>
          <w:trHeight w:val="890"/>
        </w:trPr>
        <w:tc>
          <w:tcPr>
            <w:tcW w:w="1525" w:type="dxa"/>
            <w:vAlign w:val="center"/>
          </w:tcPr>
          <w:p w14:paraId="1D843CBC" w14:textId="6A9644E5" w:rsidR="00556D69" w:rsidRDefault="0045630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33 deri 70</w:t>
            </w:r>
          </w:p>
          <w:p w14:paraId="00098EC4" w14:textId="009BEBF1" w:rsidR="00F1574D" w:rsidRPr="003F6587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detyrueshme</w:t>
            </w:r>
          </w:p>
        </w:tc>
        <w:tc>
          <w:tcPr>
            <w:tcW w:w="7485" w:type="dxa"/>
            <w:gridSpan w:val="2"/>
            <w:vAlign w:val="center"/>
          </w:tcPr>
          <w:p w14:paraId="09B693A1" w14:textId="1D5E3AAF" w:rsidR="00556D69" w:rsidRPr="006527C6" w:rsidRDefault="004B3289" w:rsidP="00314D32">
            <w:pPr>
              <w:spacing w:after="120" w:line="360" w:lineRule="auto"/>
              <w:jc w:val="both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Këto slajde identifikojnë "mitet" ose keqkuptimet kryesore në lidhje me Konventën e Budapestit dhe kërkojnë t'i mënjanojnë ato.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rFonts w:ascii="Verdana" w:hAnsi="Verdana"/>
              </w:rPr>
              <w:t xml:space="preserve">Slajdet adresojnë mitet se Konventa e Budapestit është rajonale dhe Eurocentrike, se Konventa e Budapestit është e vjetruar, se Konventa e Budapestit është hartua nga një numër i kufizuar vendesh, se Konventa e Budapestit favorizon vendet e infrastrukturës, se Konventa e Budapestit u ofron vendeve tjera qasje të pakufizuar, automatike në të dhëna, Konventa e Budapestit mbulon një fushë të kufizuar të veprave penale, dhe se Konventa e Budapestit është vetëm një traktat i krimit kibernetik.</w:t>
            </w:r>
            <w:r>
              <w:rPr>
                <w:sz w:val="18"/>
                <w:rFonts w:ascii="Verdana" w:hAnsi="Verdana"/>
              </w:rPr>
              <w:t xml:space="preserve"> </w:t>
            </w:r>
            <w:r>
              <w:rPr>
                <w:sz w:val="18"/>
                <w:color w:val="000000" w:themeColor="text1"/>
                <w:rFonts w:ascii="Verdana" w:hAnsi="Verdana"/>
              </w:rPr>
              <w:t xml:space="preserve">Kur prezantohet seksioni 4 i këtij moduli, trajneri duhet të inkurajojë pjesëmarrësit të përfshihen në një diskutim rreth keqkuptimeve të mundshme që ata kanë në lidhje me Konventën e Budapestit, pasi kjo do të ndihmojë në udhëzimin e trajnerit se në cilin keqkuptim specifik duhet fokusuar.</w:t>
            </w:r>
          </w:p>
        </w:tc>
      </w:tr>
      <w:tr w:rsidR="00F1574D" w:rsidRPr="00D82C18" w14:paraId="35503B3F" w14:textId="77777777" w:rsidTr="00F1574D">
        <w:trPr>
          <w:trHeight w:val="1259"/>
        </w:trPr>
        <w:tc>
          <w:tcPr>
            <w:tcW w:w="1525" w:type="dxa"/>
            <w:vAlign w:val="center"/>
          </w:tcPr>
          <w:p w14:paraId="5A87A945" w14:textId="7E9B227E" w:rsidR="00556D69" w:rsidRDefault="0045630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71 deri 72</w:t>
            </w:r>
          </w:p>
          <w:p w14:paraId="5DE9D224" w14:textId="2175AE8F" w:rsidR="00F1574D" w:rsidRPr="006527C6" w:rsidRDefault="00F1574D" w:rsidP="00F1574D">
            <w:pPr>
              <w:spacing w:before="120" w:after="120" w:line="280" w:lineRule="exact"/>
              <w:jc w:val="center"/>
              <w:rPr>
                <w:sz w:val="18"/>
                <w:szCs w:val="18"/>
                <w:rFonts w:ascii="Verdana" w:hAnsi="Verdana"/>
              </w:rPr>
            </w:pPr>
            <w:r>
              <w:rPr>
                <w:sz w:val="18"/>
                <w:rFonts w:ascii="Verdana" w:hAnsi="Verdana"/>
              </w:rPr>
              <w:t xml:space="preserve">Slajdet e rëndësishme</w:t>
            </w:r>
          </w:p>
        </w:tc>
        <w:tc>
          <w:tcPr>
            <w:tcW w:w="7485" w:type="dxa"/>
            <w:gridSpan w:val="2"/>
            <w:vAlign w:val="center"/>
          </w:tcPr>
          <w:p w14:paraId="6E2FA816" w14:textId="546A1612" w:rsidR="00314D32" w:rsidRPr="00314D32" w:rsidRDefault="004B3289" w:rsidP="00314D32">
            <w:pPr>
              <w:pStyle w:val="Subtitle"/>
              <w:spacing w:line="360" w:lineRule="auto"/>
            </w:pPr>
            <w:r>
              <w:rPr>
                <w:rFonts w:ascii="Verdana" w:hAnsi="Verdana"/>
              </w:rPr>
              <w:t xml:space="preserve">Trajneri duhet të rishikojë objektivat e seancës me pjesëmarrësit dhe t'u japë atyre mundësinë për të bërë ndonjë pyetje në lidhje me materialet e përfshira në këtë modul.</w:t>
            </w:r>
          </w:p>
        </w:tc>
      </w:tr>
      <w:tr w:rsidR="00CB3026" w:rsidRPr="00D82C18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Ushtrime praktike</w:t>
            </w:r>
          </w:p>
          <w:p w14:paraId="04D65D89" w14:textId="53DBD58E" w:rsidR="00CB3026" w:rsidRPr="00CB3026" w:rsidRDefault="009B4375" w:rsidP="00B3608C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Nuk ka ushtrime praktike të lidhura me këtë orë mësimore.</w:t>
            </w:r>
          </w:p>
        </w:tc>
      </w:tr>
      <w:tr w:rsidR="00CB3026" w:rsidRPr="00D82C18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77777777" w:rsidR="00CB3026" w:rsidRDefault="00CB3026" w:rsidP="00CB3026">
            <w:pPr>
              <w:spacing w:before="120" w:after="120" w:line="280" w:lineRule="exact"/>
              <w:rPr>
                <w:b/>
                <w:sz w:val="22"/>
                <w:szCs w:val="22"/>
                <w:rFonts w:ascii="Verdana" w:hAnsi="Verdana"/>
              </w:rPr>
            </w:pPr>
            <w:r>
              <w:rPr>
                <w:b/>
                <w:sz w:val="22"/>
                <w:rFonts w:ascii="Verdana" w:hAnsi="Verdana"/>
              </w:rPr>
              <w:t xml:space="preserve">Vlerësimi/Kontrolli i njohurive</w:t>
            </w:r>
          </w:p>
          <w:p w14:paraId="4496975B" w14:textId="1B3740FD" w:rsidR="00CB3026" w:rsidRPr="00CB3026" w:rsidRDefault="00CB3026" w:rsidP="00B3608C">
            <w:pPr>
              <w:spacing w:before="120" w:after="120" w:line="280" w:lineRule="exact"/>
              <w:rPr>
                <w:sz w:val="18"/>
                <w:szCs w:val="18"/>
                <w:rFonts w:ascii="Verdana" w:hAnsi="Verdana"/>
              </w:rPr>
            </w:pPr>
            <w:r>
              <w:rPr>
                <w:color w:val="000000" w:themeColor="text1"/>
                <w:sz w:val="18"/>
                <w:rFonts w:ascii="Verdana" w:hAnsi="Verdana"/>
              </w:rPr>
              <w:t xml:space="preserve">Asnjë kontroll ose vlerësim i njohurive nuk është kërkuar për këtë seancë.</w:t>
            </w:r>
          </w:p>
        </w:tc>
      </w:tr>
    </w:tbl>
    <w:p w14:paraId="15498912" w14:textId="77777777" w:rsidR="00D82C18" w:rsidRPr="00D82C18" w:rsidRDefault="00D82C18">
      <w:pPr>
        <w:rPr>
          <w:rFonts w:ascii="Verdana" w:hAnsi="Verdana"/>
        </w:rPr>
      </w:pPr>
    </w:p>
    <w:sectPr w:rsidR="00D82C18" w:rsidRPr="00D82C18" w:rsidSect="00F1574D"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45266B2"/>
    <w:multiLevelType w:val="hybridMultilevel"/>
    <w:tmpl w:val="F43057EC"/>
    <w:lvl w:ilvl="0" w:tplc="77BA8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A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60B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A28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C0E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6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6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889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FED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26929"/>
    <w:multiLevelType w:val="hybridMultilevel"/>
    <w:tmpl w:val="3D1011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dirty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051376"/>
    <w:rsid w:val="000C40EE"/>
    <w:rsid w:val="000D0409"/>
    <w:rsid w:val="000F04E4"/>
    <w:rsid w:val="000F7896"/>
    <w:rsid w:val="001D603D"/>
    <w:rsid w:val="001E7389"/>
    <w:rsid w:val="00271010"/>
    <w:rsid w:val="002D52FC"/>
    <w:rsid w:val="002E3ECE"/>
    <w:rsid w:val="002F3B54"/>
    <w:rsid w:val="00314D32"/>
    <w:rsid w:val="0034224C"/>
    <w:rsid w:val="00342639"/>
    <w:rsid w:val="003453F7"/>
    <w:rsid w:val="00354496"/>
    <w:rsid w:val="003630ED"/>
    <w:rsid w:val="003A435F"/>
    <w:rsid w:val="003E2876"/>
    <w:rsid w:val="003F6587"/>
    <w:rsid w:val="00437AF3"/>
    <w:rsid w:val="00450007"/>
    <w:rsid w:val="0045630D"/>
    <w:rsid w:val="00457DD3"/>
    <w:rsid w:val="00473D36"/>
    <w:rsid w:val="004B3289"/>
    <w:rsid w:val="004B7351"/>
    <w:rsid w:val="00514FE0"/>
    <w:rsid w:val="00556D69"/>
    <w:rsid w:val="005703B7"/>
    <w:rsid w:val="005A4E47"/>
    <w:rsid w:val="005D4432"/>
    <w:rsid w:val="0062475C"/>
    <w:rsid w:val="00637AFB"/>
    <w:rsid w:val="006527C6"/>
    <w:rsid w:val="00671ADF"/>
    <w:rsid w:val="00680264"/>
    <w:rsid w:val="006B0B52"/>
    <w:rsid w:val="0075334E"/>
    <w:rsid w:val="007678A6"/>
    <w:rsid w:val="007B1154"/>
    <w:rsid w:val="007E3B3E"/>
    <w:rsid w:val="007F4E03"/>
    <w:rsid w:val="0084446A"/>
    <w:rsid w:val="00844FBF"/>
    <w:rsid w:val="008817F1"/>
    <w:rsid w:val="00881F77"/>
    <w:rsid w:val="008A4C93"/>
    <w:rsid w:val="008C3900"/>
    <w:rsid w:val="008E3FE7"/>
    <w:rsid w:val="00906F18"/>
    <w:rsid w:val="00951791"/>
    <w:rsid w:val="009B4375"/>
    <w:rsid w:val="009D1DB1"/>
    <w:rsid w:val="009E1A27"/>
    <w:rsid w:val="009E3827"/>
    <w:rsid w:val="009F336B"/>
    <w:rsid w:val="00A03CF0"/>
    <w:rsid w:val="00A342ED"/>
    <w:rsid w:val="00A4110D"/>
    <w:rsid w:val="00A439ED"/>
    <w:rsid w:val="00A55067"/>
    <w:rsid w:val="00A734A5"/>
    <w:rsid w:val="00A76996"/>
    <w:rsid w:val="00A94D8B"/>
    <w:rsid w:val="00AA5742"/>
    <w:rsid w:val="00AC1380"/>
    <w:rsid w:val="00AC45A8"/>
    <w:rsid w:val="00AD7035"/>
    <w:rsid w:val="00AF1106"/>
    <w:rsid w:val="00B3608C"/>
    <w:rsid w:val="00BA7368"/>
    <w:rsid w:val="00C115FC"/>
    <w:rsid w:val="00C541A2"/>
    <w:rsid w:val="00C70C5C"/>
    <w:rsid w:val="00CB02C4"/>
    <w:rsid w:val="00CB3026"/>
    <w:rsid w:val="00CB708C"/>
    <w:rsid w:val="00CC1F79"/>
    <w:rsid w:val="00D01990"/>
    <w:rsid w:val="00D57822"/>
    <w:rsid w:val="00D669F8"/>
    <w:rsid w:val="00D82C18"/>
    <w:rsid w:val="00E13BE7"/>
    <w:rsid w:val="00E243AE"/>
    <w:rsid w:val="00E31F52"/>
    <w:rsid w:val="00E7344B"/>
    <w:rsid w:val="00E95703"/>
    <w:rsid w:val="00EB21C2"/>
    <w:rsid w:val="00F1574D"/>
    <w:rsid w:val="00F504D6"/>
    <w:rsid w:val="00F62A15"/>
    <w:rsid w:val="00F955B5"/>
    <w:rsid w:val="00FA5D5D"/>
    <w:rsid w:val="00FB24E8"/>
    <w:rsid w:val="00FB6DE5"/>
    <w:rsid w:val="00FE45CA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F20326E9-F316-4B3A-9582-EFEC2E12E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q-A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val="sq-AL"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sq-AL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F2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8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5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4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m.coe.int/t-cy-2020-16-bc-benefits-rep-provisional/16809ef6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Abbas Lotia</cp:lastModifiedBy>
  <cp:revision>3</cp:revision>
  <dcterms:created xsi:type="dcterms:W3CDTF">2020-10-14T07:03:00Z</dcterms:created>
  <dcterms:modified xsi:type="dcterms:W3CDTF">2020-10-14T07:50:00Z</dcterms:modified>
</cp:coreProperties>
</file>