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4184A1BE" w:rsidR="00D82C18" w:rsidRPr="00B3608C" w:rsidRDefault="00B3608C" w:rsidP="000F7896">
      <w:pPr>
        <w:rPr>
          <w:rFonts w:ascii="Verdana" w:hAnsi="Verdana"/>
        </w:rPr>
      </w:pPr>
      <w:r>
        <w:rPr>
          <w:sz w:val="28"/>
          <w:rFonts w:ascii="Verdana" w:hAnsi="Verdana"/>
        </w:rPr>
        <w:t xml:space="preserve">Mësimi 2.2 (Dispozitat Materiale të Konventës së Budapestit</w:t>
      </w:r>
      <w:r>
        <w:rPr>
          <w:sz w:val="28"/>
          <w:color w:val="000000" w:themeColor="text1"/>
          <w:rFonts w:ascii="Verdana" w:hAnsi="Verdana"/>
        </w:rPr>
        <w:t xml:space="preserve"> - Pjesa 1)</w:t>
      </w:r>
      <w:r>
        <w:rPr>
          <w:sz w:val="28"/>
          <w:color w:val="000000" w:themeColor="text1"/>
          <w:rFonts w:ascii="Verdana" w:hAnsi="Verdana"/>
        </w:rPr>
        <w:t xml:space="preserve"> </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79C3676A" w:rsidR="00D82C18" w:rsidRPr="00D82C18" w:rsidRDefault="00C115FC" w:rsidP="00C115FC">
            <w:pPr>
              <w:rPr>
                <w:sz w:val="22"/>
                <w:szCs w:val="22"/>
                <w:rFonts w:ascii="Verdana" w:hAnsi="Verdana"/>
              </w:rPr>
            </w:pPr>
            <w:r>
              <w:rPr>
                <w:sz w:val="22"/>
                <w:rFonts w:ascii="Verdana" w:hAnsi="Verdana"/>
              </w:rPr>
              <w:t xml:space="preserve">Mësimi 2.2 Dispozitat Materiale të Konventës së Budapestit - Pjesa</w:t>
            </w:r>
            <w:r>
              <w:rPr>
                <w:sz w:val="22"/>
                <w:color w:val="000000" w:themeColor="text1"/>
                <w:rFonts w:ascii="Verdana" w:hAnsi="Verdana"/>
              </w:rPr>
              <w:t xml:space="preserve"> 1</w:t>
            </w:r>
          </w:p>
        </w:tc>
        <w:tc>
          <w:tcPr>
            <w:tcW w:w="2165" w:type="dxa"/>
            <w:shd w:val="clear" w:color="auto" w:fill="DEEAF6" w:themeFill="accent5" w:themeFillTint="33"/>
            <w:vAlign w:val="center"/>
          </w:tcPr>
          <w:p w14:paraId="30B631DA" w14:textId="24980FBA" w:rsidR="00D82C18" w:rsidRPr="00D82C18" w:rsidRDefault="00D82C18" w:rsidP="00C115FC">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color w:val="000000" w:themeColor="text1"/>
                <w:rFonts w:ascii="Verdana" w:hAnsi="Verdana"/>
              </w:rPr>
              <w:t xml:space="preserve">90 minuta</w:t>
            </w:r>
            <w:r>
              <w:rPr>
                <w:sz w:val="22"/>
                <w:color w:val="000000" w:themeColor="text1"/>
                <w:rFonts w:ascii="Verdana" w:hAnsi="Verdana"/>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b/>
                <w:sz w:val="22"/>
                <w:szCs w:val="22"/>
                <w:rFonts w:ascii="Verdana" w:hAnsi="Verdana"/>
              </w:rPr>
            </w:pPr>
            <w:r>
              <w:rPr>
                <w:b/>
                <w:sz w:val="22"/>
                <w:rFonts w:ascii="Verdana" w:hAnsi="Verdana"/>
              </w:rPr>
              <w:t xml:space="preserve">Burimet e nevojshme:</w:t>
            </w:r>
            <w:r>
              <w:rPr>
                <w:b/>
                <w:sz w:val="22"/>
                <w:rFonts w:ascii="Verdana" w:hAnsi="Verdana"/>
              </w:rPr>
              <w:t xml:space="preserve">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PC/Laptop ngarkuar me versione softuerësh të pajtueshëm me materialet e përgatitura</w:t>
            </w:r>
            <w:r>
              <w:t xml:space="preserve">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Qasje në internet (nëse ka)</w:t>
            </w:r>
            <w:r>
              <w:t xml:space="preserve"> </w:t>
            </w:r>
          </w:p>
          <w:p w14:paraId="575CEC8B" w14:textId="7FC1824F" w:rsidR="000F7896" w:rsidRPr="00AC1380" w:rsidRDefault="000F7896" w:rsidP="000F7896">
            <w:pPr>
              <w:pStyle w:val="bul1"/>
              <w:numPr>
                <w:ilvl w:val="0"/>
                <w:numId w:val="6"/>
              </w:numPr>
              <w:spacing w:line="280" w:lineRule="exact"/>
              <w:rPr>
                <w:rFonts w:ascii="Symbol" w:hAnsi="Symbol"/>
              </w:rPr>
            </w:pPr>
            <w:r>
              <w:t xml:space="preserve">PowerPoint apo prezantime tjera</w:t>
            </w:r>
            <w:r>
              <w:t xml:space="preserve"> </w:t>
            </w:r>
          </w:p>
          <w:p w14:paraId="14CF9EF0" w14:textId="1ED885BC" w:rsidR="000F7896" w:rsidRPr="00A439ED" w:rsidRDefault="000F7896" w:rsidP="00A439ED">
            <w:pPr>
              <w:pStyle w:val="bul1"/>
              <w:numPr>
                <w:ilvl w:val="0"/>
                <w:numId w:val="6"/>
              </w:numPr>
              <w:spacing w:line="280" w:lineRule="exact"/>
              <w:rPr>
                <w:rFonts w:ascii="Symbol" w:hAnsi="Symbol"/>
              </w:rPr>
            </w:pPr>
            <w:r>
              <w:t xml:space="preserve">Kopje e Konventës së Budapestit</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3FE58655" w14:textId="75BCCF28" w:rsidR="00A03CF0" w:rsidRPr="000F7896" w:rsidRDefault="00BA7368" w:rsidP="00FA5D5D">
            <w:pPr>
              <w:spacing w:before="120" w:after="120" w:line="280" w:lineRule="exact"/>
              <w:jc w:val="both"/>
              <w:rPr>
                <w:i/>
                <w:color w:val="FF0000"/>
                <w:sz w:val="18"/>
                <w:szCs w:val="18"/>
                <w:rFonts w:ascii="Verdana" w:hAnsi="Verdana"/>
              </w:rPr>
            </w:pPr>
            <w:r>
              <w:rPr>
                <w:sz w:val="18"/>
                <w:rFonts w:ascii="Verdana" w:hAnsi="Verdana"/>
              </w:rPr>
              <w:t xml:space="preserve">Qëllimi i kësaj seance është t'u sigurojë pjesëmarrësve një kuptim gjithëpërfshirës të elementeve të veprave penale kundër konfidencialitetit, integritetit dhe disponueshmërisë së sistemeve kompjuterike dhe të të dhënave, të krijuara në përputhje me Konventën e Budapestit.</w:t>
            </w:r>
            <w:r>
              <w:rPr>
                <w:sz w:val="18"/>
                <w:rFonts w:ascii="Verdana" w:hAnsi="Verdana"/>
              </w:rPr>
              <w:t xml:space="preserve"> </w:t>
            </w:r>
            <w:r>
              <w:rPr>
                <w:sz w:val="18"/>
                <w:rFonts w:ascii="Verdana" w:hAnsi="Verdana"/>
              </w:rPr>
              <w:t xml:space="preserve">Seanca përfshin, në detaje, secilin element të nenit 2 (qasja e jashtëligjshme), nenit 3 (Përgjimi i jashtëligjshëm), nenit 4 (Ndërhyrja në të dhëna), nenit 5 (Ndërhyrja në sistem) dhe nenit 6 (keqpërdorimi i pajisjeve) të Konventës së Budapestit</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b/>
                <w:sz w:val="22"/>
                <w:szCs w:val="22"/>
                <w:rFonts w:ascii="Verdana" w:hAnsi="Verdana"/>
              </w:rPr>
            </w:pPr>
            <w:r>
              <w:rPr>
                <w:b/>
                <w:sz w:val="22"/>
                <w:rFonts w:ascii="Verdana" w:hAnsi="Verdana"/>
              </w:rPr>
              <w:t xml:space="preserve">Objektivat:</w:t>
            </w:r>
          </w:p>
          <w:p w14:paraId="7552C5F6" w14:textId="77777777" w:rsidR="000F7896" w:rsidRPr="00AC1380" w:rsidRDefault="000F7896" w:rsidP="000F7896">
            <w:pPr>
              <w:tabs>
                <w:tab w:val="left" w:pos="426"/>
                <w:tab w:val="left" w:pos="851"/>
              </w:tabs>
              <w:rPr>
                <w:sz w:val="18"/>
                <w:szCs w:val="18"/>
                <w:rFonts w:ascii="Verdana" w:eastAsia="Times New Roman" w:hAnsi="Verdana" w:cs="Times New Roman"/>
              </w:rPr>
            </w:pPr>
            <w:r>
              <w:rPr>
                <w:sz w:val="18"/>
                <w:rFonts w:ascii="Verdana" w:hAnsi="Verdana"/>
              </w:rPr>
              <w:t xml:space="preserve">Deri në fund të kësaj seance pjesëmarrësit do të jenë në gjendje të:</w:t>
            </w:r>
          </w:p>
          <w:p w14:paraId="0C05C55A" w14:textId="264345E4" w:rsidR="008109E9" w:rsidRPr="008109E9" w:rsidRDefault="008109E9" w:rsidP="008109E9">
            <w:pPr>
              <w:pStyle w:val="bul1"/>
              <w:numPr>
                <w:ilvl w:val="0"/>
                <w:numId w:val="11"/>
              </w:numPr>
              <w:rPr>
                <w:szCs w:val="18"/>
              </w:rPr>
            </w:pPr>
            <w:r>
              <w:t xml:space="preserve">Kuptojnë termat themelorë të tillë si:</w:t>
            </w:r>
          </w:p>
          <w:p w14:paraId="626C3D10" w14:textId="77777777" w:rsidR="008109E9" w:rsidRPr="008109E9" w:rsidRDefault="008109E9" w:rsidP="008109E9">
            <w:pPr>
              <w:pStyle w:val="bul1"/>
              <w:numPr>
                <w:ilvl w:val="0"/>
                <w:numId w:val="13"/>
              </w:numPr>
              <w:rPr>
                <w:szCs w:val="18"/>
              </w:rPr>
            </w:pPr>
            <w:r>
              <w:t xml:space="preserve">të dhëna kompjuterike</w:t>
            </w:r>
          </w:p>
          <w:p w14:paraId="5A9E1984" w14:textId="77777777" w:rsidR="008109E9" w:rsidRPr="008109E9" w:rsidRDefault="008109E9" w:rsidP="008109E9">
            <w:pPr>
              <w:pStyle w:val="bul1"/>
              <w:numPr>
                <w:ilvl w:val="0"/>
                <w:numId w:val="13"/>
              </w:numPr>
              <w:rPr>
                <w:szCs w:val="18"/>
              </w:rPr>
            </w:pPr>
            <w:r>
              <w:t xml:space="preserve">sistemet kompjuterike</w:t>
            </w:r>
          </w:p>
          <w:p w14:paraId="5489BE6E" w14:textId="77777777" w:rsidR="008109E9" w:rsidRPr="008109E9" w:rsidRDefault="008109E9" w:rsidP="008109E9">
            <w:pPr>
              <w:pStyle w:val="bul1"/>
              <w:numPr>
                <w:ilvl w:val="0"/>
                <w:numId w:val="13"/>
              </w:numPr>
              <w:rPr>
                <w:szCs w:val="18"/>
              </w:rPr>
            </w:pPr>
            <w:r>
              <w:t xml:space="preserve">të dhëna trafiku</w:t>
            </w:r>
            <w:r>
              <w:t xml:space="preserve"> </w:t>
            </w:r>
          </w:p>
          <w:p w14:paraId="00427C2C" w14:textId="459086A2" w:rsidR="008109E9" w:rsidRPr="008109E9" w:rsidRDefault="008109E9" w:rsidP="008109E9">
            <w:pPr>
              <w:pStyle w:val="bul1"/>
              <w:numPr>
                <w:ilvl w:val="0"/>
                <w:numId w:val="13"/>
              </w:numPr>
              <w:rPr>
                <w:szCs w:val="18"/>
              </w:rPr>
            </w:pPr>
            <w:r>
              <w:t xml:space="preserve">ofrues i shërbimeve</w:t>
            </w:r>
          </w:p>
          <w:p w14:paraId="11A261E1" w14:textId="77777777" w:rsidR="008109E9" w:rsidRPr="008109E9" w:rsidRDefault="008109E9" w:rsidP="008109E9">
            <w:pPr>
              <w:pStyle w:val="bul1"/>
              <w:numPr>
                <w:ilvl w:val="0"/>
                <w:numId w:val="11"/>
              </w:numPr>
              <w:rPr>
                <w:szCs w:val="18"/>
              </w:rPr>
            </w:pPr>
            <w:r>
              <w:t xml:space="preserve">Identifikojnë elementet që përbëjnë vepër penale të:</w:t>
            </w:r>
          </w:p>
          <w:p w14:paraId="3D1820D2" w14:textId="6A9BAE38" w:rsidR="008109E9" w:rsidRPr="008109E9" w:rsidRDefault="008109E9" w:rsidP="008109E9">
            <w:pPr>
              <w:pStyle w:val="bul1"/>
              <w:numPr>
                <w:ilvl w:val="0"/>
                <w:numId w:val="14"/>
              </w:numPr>
              <w:rPr>
                <w:szCs w:val="18"/>
              </w:rPr>
            </w:pPr>
            <w:r>
              <w:t xml:space="preserve">qasjes së jashtëligjshme</w:t>
            </w:r>
          </w:p>
          <w:p w14:paraId="63DDB248" w14:textId="12659612" w:rsidR="008109E9" w:rsidRPr="008109E9" w:rsidRDefault="008109E9" w:rsidP="008109E9">
            <w:pPr>
              <w:pStyle w:val="bul1"/>
              <w:numPr>
                <w:ilvl w:val="0"/>
                <w:numId w:val="14"/>
              </w:numPr>
              <w:rPr>
                <w:szCs w:val="18"/>
              </w:rPr>
            </w:pPr>
            <w:r>
              <w:t xml:space="preserve">përgjimit të jashtëligjshëm</w:t>
            </w:r>
          </w:p>
          <w:p w14:paraId="1A34F177" w14:textId="17639B6F" w:rsidR="008109E9" w:rsidRPr="008109E9" w:rsidRDefault="008109E9" w:rsidP="008109E9">
            <w:pPr>
              <w:pStyle w:val="bul1"/>
              <w:numPr>
                <w:ilvl w:val="0"/>
                <w:numId w:val="14"/>
              </w:numPr>
              <w:rPr>
                <w:szCs w:val="18"/>
              </w:rPr>
            </w:pPr>
            <w:r>
              <w:t xml:space="preserve">ndërhyrjes në të dhëna</w:t>
            </w:r>
            <w:r>
              <w:t xml:space="preserve"> </w:t>
            </w:r>
          </w:p>
          <w:p w14:paraId="6466E398" w14:textId="5D0947A4" w:rsidR="008109E9" w:rsidRPr="008109E9" w:rsidRDefault="008109E9" w:rsidP="008109E9">
            <w:pPr>
              <w:pStyle w:val="bul1"/>
              <w:numPr>
                <w:ilvl w:val="0"/>
                <w:numId w:val="14"/>
              </w:numPr>
              <w:rPr>
                <w:szCs w:val="18"/>
              </w:rPr>
            </w:pPr>
            <w:r>
              <w:t xml:space="preserve">ndërhyrjes në sistem</w:t>
            </w:r>
            <w:r>
              <w:t xml:space="preserve"> </w:t>
            </w:r>
          </w:p>
          <w:p w14:paraId="61ABEAC5" w14:textId="664C1EE2" w:rsidR="001E7389" w:rsidRPr="008109E9" w:rsidRDefault="008109E9" w:rsidP="008109E9">
            <w:pPr>
              <w:pStyle w:val="bul1"/>
              <w:numPr>
                <w:ilvl w:val="0"/>
                <w:numId w:val="14"/>
              </w:numPr>
              <w:rPr>
                <w:szCs w:val="18"/>
              </w:rPr>
            </w:pPr>
            <w:r>
              <w:t xml:space="preserve">keqpërdorimit të pajisjeve</w:t>
            </w:r>
            <w:r>
              <w:t xml:space="preserve"> </w:t>
            </w:r>
          </w:p>
        </w:tc>
      </w:tr>
      <w:tr w:rsidR="005703B7" w:rsidRPr="00D82C18" w14:paraId="03110757" w14:textId="77777777" w:rsidTr="006E7FBC">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Udhëzimi për trajnerë</w:t>
            </w:r>
          </w:p>
          <w:p w14:paraId="1A9EC5BE" w14:textId="77777777" w:rsidR="00020466" w:rsidRDefault="00020466" w:rsidP="00A74106">
            <w:pPr>
              <w:spacing w:before="120" w:after="120" w:line="280" w:lineRule="exact"/>
              <w:jc w:val="both"/>
              <w:rPr>
                <w:sz w:val="18"/>
                <w:szCs w:val="18"/>
                <w:rFonts w:ascii="Verdana" w:hAnsi="Verdana"/>
              </w:rPr>
            </w:pPr>
            <w:r>
              <w:rPr>
                <w:sz w:val="18"/>
                <w:rFonts w:ascii="Verdana" w:hAnsi="Verdana"/>
              </w:rPr>
              <w:t xml:space="preserve">Kjo seancë është përgatitur për t'u ofruar pjesëmarrësve një kuptim gjithëpërfshirës të përkufizimeve nën Kapitullin I të Konventës së Budapestit dhe dispozitat e ligjit material të përshkruara në Titullin 1 të Kapitullit II Seksioni 1 të Konventës së Budapestit (Veprat kundër konfidencialitetit, integritetit dhe disponueshmërisë së të dhënave dhe sistemeve kompjuterike).</w:t>
            </w:r>
            <w:r>
              <w:rPr>
                <w:sz w:val="18"/>
                <w:rFonts w:ascii="Verdana" w:hAnsi="Verdana"/>
              </w:rPr>
              <w:t xml:space="preserve"> </w:t>
            </w:r>
            <w:r>
              <w:rPr>
                <w:sz w:val="18"/>
                <w:rFonts w:ascii="Verdana" w:hAnsi="Verdana"/>
              </w:rPr>
              <w:t xml:space="preserve">Kjo seancë është e ndarë në gjashtë pjesë, përveç një hyrjeje dhe përfundimit.</w:t>
            </w:r>
            <w:r>
              <w:rPr>
                <w:sz w:val="18"/>
                <w:rFonts w:ascii="Verdana" w:hAnsi="Verdana"/>
              </w:rPr>
              <w:t xml:space="preserve"> </w:t>
            </w:r>
            <w:r>
              <w:rPr>
                <w:sz w:val="18"/>
                <w:rFonts w:ascii="Verdana" w:hAnsi="Verdana"/>
              </w:rPr>
              <w:t xml:space="preserve">Pjesa e parë përfshin përkufizimet e sistemit kompjuterik, të dhënave kompjuterike, të dhënave të trafikut dhe ofruesit të shërbimit.</w:t>
            </w:r>
            <w:r>
              <w:rPr>
                <w:sz w:val="18"/>
                <w:rFonts w:ascii="Verdana" w:hAnsi="Verdana"/>
              </w:rPr>
              <w:t xml:space="preserve"> </w:t>
            </w:r>
            <w:r>
              <w:rPr>
                <w:sz w:val="18"/>
                <w:rFonts w:ascii="Verdana" w:hAnsi="Verdana"/>
              </w:rPr>
              <w:t xml:space="preserve">Pjesa e dytë përfshin veprën e qasjes së jashtëligjshme.</w:t>
            </w:r>
            <w:r>
              <w:rPr>
                <w:sz w:val="18"/>
                <w:rFonts w:ascii="Verdana" w:hAnsi="Verdana"/>
              </w:rPr>
              <w:t xml:space="preserve"> </w:t>
            </w:r>
            <w:r>
              <w:rPr>
                <w:sz w:val="18"/>
                <w:rFonts w:ascii="Verdana" w:hAnsi="Verdana"/>
              </w:rPr>
              <w:t xml:space="preserve">Pjesa e tretë mbulon veprën e përgjimit të jashtëligjshëm.</w:t>
            </w:r>
            <w:r>
              <w:rPr>
                <w:sz w:val="18"/>
                <w:rFonts w:ascii="Verdana" w:hAnsi="Verdana"/>
              </w:rPr>
              <w:t xml:space="preserve"> </w:t>
            </w:r>
            <w:r>
              <w:rPr>
                <w:sz w:val="18"/>
                <w:rFonts w:ascii="Verdana" w:hAnsi="Verdana"/>
              </w:rPr>
              <w:t xml:space="preserve">Pjesa e katërt përfshin veprën penale të ndërhyrjes në të dhëna.</w:t>
            </w:r>
            <w:r>
              <w:rPr>
                <w:sz w:val="18"/>
                <w:rFonts w:ascii="Verdana" w:hAnsi="Verdana"/>
              </w:rPr>
              <w:t xml:space="preserve"> </w:t>
            </w:r>
            <w:r>
              <w:rPr>
                <w:sz w:val="18"/>
                <w:rFonts w:ascii="Verdana" w:hAnsi="Verdana"/>
              </w:rPr>
              <w:t xml:space="preserve">Pjesa e pestë përfshin veprën e ndërhyrjes në sistem.</w:t>
            </w:r>
            <w:r>
              <w:rPr>
                <w:sz w:val="18"/>
                <w:rFonts w:ascii="Verdana" w:hAnsi="Verdana"/>
              </w:rPr>
              <w:t xml:space="preserve"> </w:t>
            </w:r>
            <w:r>
              <w:rPr>
                <w:sz w:val="18"/>
                <w:rFonts w:ascii="Verdana" w:hAnsi="Verdana"/>
              </w:rPr>
              <w:t xml:space="preserve">Pjesa e gjashtë mbulon veprën e keqpërdorimit të pajisjeve.</w:t>
            </w:r>
            <w:r>
              <w:rPr>
                <w:sz w:val="18"/>
                <w:rFonts w:ascii="Verdana" w:hAnsi="Verdana"/>
              </w:rPr>
              <w:t xml:space="preserve"> </w:t>
            </w:r>
          </w:p>
          <w:p w14:paraId="5470BC1E" w14:textId="77777777" w:rsidR="00317F0F" w:rsidRDefault="00317F0F" w:rsidP="00A74106">
            <w:pPr>
              <w:spacing w:before="120" w:after="120" w:line="280" w:lineRule="exact"/>
              <w:jc w:val="both"/>
              <w:rPr>
                <w:sz w:val="18"/>
                <w:szCs w:val="18"/>
                <w:rFonts w:ascii="Verdana" w:hAnsi="Verdana"/>
              </w:rPr>
            </w:pPr>
            <w:r>
              <w:rPr>
                <w:sz w:val="18"/>
                <w:rFonts w:ascii="Verdana" w:hAnsi="Verdana"/>
              </w:rPr>
              <w:t xml:space="preserve">Para prezantimit të kësaj seance, rekomandohet që trajneri të rishikojë paragrafët 22 - 78 të këtij ligji </w:t>
            </w:r>
            <w:hyperlink r:id="rId5" w:history="1">
              <w:r>
                <w:rPr>
                  <w:rStyle w:val="Hyperlink"/>
                  <w:sz w:val="18"/>
                  <w:rFonts w:ascii="Verdana" w:hAnsi="Verdana"/>
                </w:rPr>
                <w:t xml:space="preserve">Raport shpjegues për Konventën për krimin kibernetik</w:t>
              </w:r>
            </w:hyperlink>
            <w:r>
              <w:rPr>
                <w:sz w:val="18"/>
                <w:rFonts w:ascii="Verdana" w:hAnsi="Verdana"/>
              </w:rPr>
              <w:t xml:space="preserve">.</w:t>
            </w:r>
          </w:p>
          <w:p w14:paraId="5EFF4BEF" w14:textId="2FFDB690" w:rsidR="004B1CB0" w:rsidRPr="00E95703" w:rsidRDefault="004B1CB0" w:rsidP="00A74106">
            <w:pPr>
              <w:spacing w:before="120" w:after="120" w:line="280" w:lineRule="exact"/>
              <w:jc w:val="both"/>
              <w:rPr>
                <w:sz w:val="18"/>
                <w:szCs w:val="18"/>
                <w:rFonts w:ascii="Verdana" w:hAnsi="Verdana"/>
              </w:rPr>
            </w:pPr>
            <w:r>
              <w:rPr>
                <w:sz w:val="18"/>
                <w:rFonts w:ascii="Verdana" w:hAnsi="Verdana"/>
              </w:rPr>
              <w:t xml:space="preserve">Trajneri mund të dëshirojë të inkurajojë një diskutim rreth mënyrës se si secila prej dispozitave të përfshira në këtë seancë është krijuar në bazë të ligjit vendor.</w:t>
            </w:r>
            <w:r>
              <w:rPr>
                <w:sz w:val="18"/>
                <w:rFonts w:ascii="Verdana" w:hAnsi="Verdana"/>
              </w:rPr>
              <w:t xml:space="preserve"> </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rFonts w:ascii="Verdana" w:hAnsi="Verdana"/>
              </w:rPr>
              <w:t xml:space="preserve">Përmbajtja e Mësimit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rFonts w:ascii="Verdana" w:hAnsi="Verdana"/>
              </w:rPr>
              <w:t xml:space="preserve">Numrat e slajdeve</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rFonts w:ascii="Verdana" w:hAnsi="Verdana"/>
              </w:rPr>
              <w:t xml:space="preserve">Përmbajtja</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sz w:val="18"/>
                <w:szCs w:val="18"/>
                <w:rFonts w:ascii="Verdana" w:hAnsi="Verdana"/>
              </w:rPr>
            </w:pPr>
            <w:r>
              <w:rPr>
                <w:sz w:val="18"/>
                <w:rFonts w:ascii="Verdana" w:hAnsi="Verdana"/>
              </w:rPr>
              <w:t xml:space="preserve">1 deri 4</w:t>
            </w:r>
          </w:p>
          <w:p w14:paraId="5A89CF27" w14:textId="6863FBB0" w:rsidR="00F1574D" w:rsidRPr="00F62A15" w:rsidRDefault="00F1574D"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36345B59" w14:textId="4EFB5D9E" w:rsidR="00556D69" w:rsidRPr="00C70C5C" w:rsidRDefault="00556D69" w:rsidP="00314D32">
            <w:pPr>
              <w:spacing w:before="120" w:after="120" w:line="360" w:lineRule="auto"/>
              <w:jc w:val="both"/>
              <w:rPr>
                <w:color w:val="000000" w:themeColor="text1"/>
                <w:sz w:val="18"/>
                <w:szCs w:val="18"/>
                <w:rFonts w:ascii="Verdana" w:hAnsi="Verdana"/>
              </w:rPr>
            </w:pPr>
            <w:r>
              <w:rPr>
                <w:color w:val="000000" w:themeColor="text1"/>
                <w:sz w:val="18"/>
                <w:rFonts w:ascii="Verdana" w:hAnsi="Verdana"/>
              </w:rPr>
              <w:t xml:space="preserve">Slajdet e para janë hyrja në seancë dhe përfshijnë agjendën dhe objektivat e seancës.</w:t>
            </w:r>
            <w:r>
              <w:rPr>
                <w:color w:val="000000" w:themeColor="text1"/>
                <w:sz w:val="18"/>
                <w:rFonts w:ascii="Verdana" w:hAnsi="Verdana"/>
              </w:rPr>
              <w:t xml:space="preserve"> </w:t>
            </w:r>
          </w:p>
        </w:tc>
      </w:tr>
      <w:tr w:rsidR="00F1574D" w:rsidRPr="00D82C18" w14:paraId="65F07CB5" w14:textId="77777777" w:rsidTr="00F1574D">
        <w:trPr>
          <w:trHeight w:val="1880"/>
        </w:trPr>
        <w:tc>
          <w:tcPr>
            <w:tcW w:w="1525" w:type="dxa"/>
            <w:vAlign w:val="center"/>
          </w:tcPr>
          <w:p w14:paraId="56AF6365" w14:textId="32397C50" w:rsidR="00D82C18" w:rsidRDefault="00C70C5C" w:rsidP="00F1574D">
            <w:pPr>
              <w:spacing w:before="120" w:after="120" w:line="280" w:lineRule="exact"/>
              <w:jc w:val="center"/>
              <w:rPr>
                <w:sz w:val="18"/>
                <w:szCs w:val="18"/>
                <w:rFonts w:ascii="Verdana" w:hAnsi="Verdana"/>
              </w:rPr>
            </w:pPr>
            <w:r>
              <w:rPr>
                <w:sz w:val="18"/>
                <w:rFonts w:ascii="Verdana" w:hAnsi="Verdana"/>
              </w:rPr>
              <w:t xml:space="preserve">5 deri 9</w:t>
            </w:r>
          </w:p>
          <w:p w14:paraId="6F5AEB2D" w14:textId="242338E2" w:rsidR="00F1574D" w:rsidRPr="003630ED" w:rsidRDefault="00BA7368"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7C80C831" w14:textId="77777777" w:rsidR="00317F0F" w:rsidRDefault="006E7FBC" w:rsidP="00314D32">
            <w:pPr>
              <w:pStyle w:val="Subtitle"/>
              <w:spacing w:line="360" w:lineRule="auto"/>
              <w:rPr>
                <w:rFonts w:ascii="Verdana" w:eastAsia="Times New Roman" w:hAnsi="Verdana"/>
              </w:rPr>
            </w:pPr>
            <w:r>
              <w:rPr>
                <w:rFonts w:ascii="Verdana" w:hAnsi="Verdana"/>
              </w:rPr>
              <w:t xml:space="preserve">Këto slajde shpjegojnë përkufizimet e termave nën Kapitullin I të Konventës së Budapestit, përkatësisht "sistemin kompjuterik", "të dhënat kompjuterike", "ofruesit e shërbimit" dhe "të dhënat e trafikut".</w:t>
            </w:r>
            <w:r>
              <w:rPr>
                <w:rFonts w:ascii="Verdana" w:hAnsi="Verdana"/>
              </w:rPr>
              <w:t xml:space="preserve"> </w:t>
            </w:r>
          </w:p>
          <w:p w14:paraId="649FEA68" w14:textId="3AF19F42" w:rsidR="00CB3026" w:rsidRPr="00CB3026" w:rsidRDefault="00317F0F" w:rsidP="00314D32">
            <w:pPr>
              <w:pStyle w:val="Subtitle"/>
              <w:spacing w:line="360" w:lineRule="auto"/>
              <w:rPr>
                <w:rFonts w:ascii="Verdana" w:eastAsia="Times New Roman" w:hAnsi="Verdana"/>
              </w:rPr>
            </w:pPr>
            <w:r>
              <w:rPr>
                <w:rFonts w:ascii="Verdana" w:hAnsi="Verdana"/>
              </w:rPr>
              <w:t xml:space="preserve">Secili slajd është ndarë në dy kolona.</w:t>
            </w:r>
            <w:r>
              <w:rPr>
                <w:rFonts w:ascii="Verdana" w:hAnsi="Verdana"/>
              </w:rPr>
              <w:t xml:space="preserve"> </w:t>
            </w:r>
            <w:r>
              <w:rPr>
                <w:rFonts w:ascii="Verdana" w:hAnsi="Verdana"/>
              </w:rPr>
              <w:t xml:space="preserve">Kolona në anën e majtë përsërit tekstin e Konventës së Budapestit, ndërsa kolona në anën e djathtë ofron një shpjegim të përkufizimit.</w:t>
            </w:r>
            <w:r>
              <w:rPr>
                <w:rFonts w:ascii="Verdana" w:hAnsi="Verdana"/>
              </w:rPr>
              <w:t xml:space="preserve"> </w:t>
            </w:r>
          </w:p>
        </w:tc>
      </w:tr>
      <w:tr w:rsidR="00F1574D" w:rsidRPr="00317F0F" w14:paraId="15587DD6" w14:textId="77777777" w:rsidTr="00F1574D">
        <w:trPr>
          <w:trHeight w:val="1916"/>
        </w:trPr>
        <w:tc>
          <w:tcPr>
            <w:tcW w:w="1525" w:type="dxa"/>
            <w:vAlign w:val="center"/>
          </w:tcPr>
          <w:p w14:paraId="5EBB803A" w14:textId="7365A11A" w:rsidR="00556D69" w:rsidRDefault="006B3820" w:rsidP="00F1574D">
            <w:pPr>
              <w:spacing w:before="120" w:after="120" w:line="280" w:lineRule="exact"/>
              <w:jc w:val="center"/>
              <w:rPr>
                <w:sz w:val="18"/>
                <w:szCs w:val="18"/>
                <w:rFonts w:ascii="Verdana" w:hAnsi="Verdana"/>
              </w:rPr>
            </w:pPr>
            <w:r>
              <w:rPr>
                <w:sz w:val="18"/>
                <w:rFonts w:ascii="Verdana" w:hAnsi="Verdana"/>
              </w:rPr>
              <w:t xml:space="preserve">10 deri 20</w:t>
            </w:r>
          </w:p>
          <w:p w14:paraId="65C32028" w14:textId="2E212042" w:rsidR="00F1574D" w:rsidRDefault="006B3820"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3680A4C1" w14:textId="77777777" w:rsidR="00394BB8" w:rsidRPr="00394BB8" w:rsidRDefault="00317F0F" w:rsidP="00394BB8">
            <w:pPr>
              <w:pStyle w:val="Subtitle"/>
              <w:spacing w:line="360" w:lineRule="auto"/>
              <w:rPr>
                <w:iCs w:val="0"/>
                <w:color w:val="auto"/>
                <w:szCs w:val="18"/>
                <w:rFonts w:ascii="Verdana" w:eastAsiaTheme="minorHAnsi" w:hAnsi="Verdana" w:cstheme="minorBidi"/>
              </w:rPr>
            </w:pPr>
            <w:r>
              <w:rPr>
                <w:rFonts w:ascii="Verdana" w:hAnsi="Verdana"/>
              </w:rPr>
              <w:t xml:space="preserve">Këto slajde shpjegojnë veprën e qasjes së jashtëligjshme, siç parashihet në nenin 2 të Konventës së Budapestit.</w:t>
            </w:r>
            <w:r>
              <w:rPr>
                <w:rFonts w:ascii="Verdana" w:hAnsi="Verdana"/>
              </w:rPr>
              <w:t xml:space="preserve"> </w:t>
            </w:r>
          </w:p>
          <w:p w14:paraId="754947F3" w14:textId="66AD8A26" w:rsidR="00394BB8" w:rsidRPr="00394BB8" w:rsidRDefault="00394BB8" w:rsidP="00394BB8">
            <w:pPr>
              <w:pStyle w:val="Subtitle"/>
              <w:spacing w:line="360" w:lineRule="auto"/>
              <w:rPr>
                <w:iCs w:val="0"/>
                <w:color w:val="auto"/>
                <w:szCs w:val="18"/>
                <w:rFonts w:ascii="Verdana" w:eastAsiaTheme="minorHAnsi" w:hAnsi="Verdana" w:cstheme="minorBidi"/>
              </w:rPr>
            </w:pPr>
            <w:r>
              <w:rPr>
                <w:color w:val="auto"/>
                <w:rFonts w:ascii="Verdana" w:hAnsi="Verdana"/>
              </w:rPr>
              <w:t xml:space="preserve">Grupi i parë i slajdeve ofron një përmbledhje të elementeve kryesore të nenit 2 të Konventës së Budapestit.</w:t>
            </w:r>
            <w:r>
              <w:rPr>
                <w:color w:val="auto"/>
                <w:rFonts w:ascii="Verdana" w:hAnsi="Verdana"/>
              </w:rPr>
              <w:t xml:space="preserve"> </w:t>
            </w:r>
            <w:r>
              <w:rPr>
                <w:color w:val="auto"/>
                <w:rFonts w:ascii="Verdana" w:hAnsi="Verdana"/>
              </w:rPr>
              <w:t xml:space="preserve">Ai gjithashtu ofron dy raste studimore të veprës penale të qasjes së jashtëligjshme në vende të ndryshme.</w:t>
            </w:r>
          </w:p>
          <w:p w14:paraId="09B58FC0" w14:textId="76A0B5A4" w:rsidR="00C70C5C" w:rsidRPr="00317F0F" w:rsidRDefault="0044155B" w:rsidP="00394BB8">
            <w:pPr>
              <w:pStyle w:val="Subtitle"/>
              <w:spacing w:line="360" w:lineRule="auto"/>
              <w:rPr>
                <w:szCs w:val="18"/>
                <w:rFonts w:ascii="Verdana" w:hAnsi="Verdana"/>
              </w:rPr>
            </w:pPr>
            <w:r>
              <w:rPr>
                <w:rFonts w:ascii="Verdana" w:hAnsi="Verdana"/>
              </w:rPr>
              <w:t xml:space="preserve">Slajdet tjera janë ndarë në dy kolona.</w:t>
            </w:r>
            <w:r>
              <w:rPr>
                <w:rFonts w:ascii="Verdana" w:hAnsi="Verdana"/>
              </w:rPr>
              <w:t xml:space="preserve"> </w:t>
            </w:r>
            <w:r>
              <w:rPr>
                <w:rFonts w:ascii="Verdana" w:hAnsi="Verdana"/>
              </w:rPr>
              <w:t xml:space="preserve">Kolona në anën e majtë përsërit tekstin e nenit 2 të Konventës së Budapestit me një element të veçantë të theksuar, ndërsa kolona në anën e djathtë ofron një shpjegim të elementit të theksuar.</w:t>
            </w:r>
            <w:r>
              <w:rPr>
                <w:rFonts w:ascii="Verdana" w:hAnsi="Verdana"/>
              </w:rPr>
              <w:t xml:space="preserve"> </w:t>
            </w:r>
            <w:r>
              <w:rPr>
                <w:rFonts w:ascii="Verdana" w:hAnsi="Verdana"/>
              </w:rPr>
              <w:t xml:space="preserve">Trajneri pritet të kalojë nëpër secilin element, për t'u ofruar pjesëmarrësve një kuptim gjithëpërfshirës të nenit 2 të Konventës së Budapestit.</w:t>
            </w:r>
            <w:r>
              <w:rPr>
                <w:rFonts w:ascii="Verdana" w:hAnsi="Verdana"/>
              </w:rPr>
              <w:t xml:space="preserve"> </w:t>
            </w:r>
          </w:p>
        </w:tc>
      </w:tr>
      <w:tr w:rsidR="00F1574D" w:rsidRPr="00D82C18" w14:paraId="4F010995" w14:textId="77777777" w:rsidTr="00F1574D">
        <w:trPr>
          <w:trHeight w:val="791"/>
        </w:trPr>
        <w:tc>
          <w:tcPr>
            <w:tcW w:w="1525" w:type="dxa"/>
            <w:vAlign w:val="center"/>
          </w:tcPr>
          <w:p w14:paraId="15E808BA" w14:textId="5DF110AA" w:rsidR="00556D69" w:rsidRDefault="006B3820" w:rsidP="00F1574D">
            <w:pPr>
              <w:spacing w:before="120" w:after="120" w:line="280" w:lineRule="exact"/>
              <w:jc w:val="center"/>
              <w:rPr>
                <w:sz w:val="18"/>
                <w:szCs w:val="18"/>
                <w:rFonts w:ascii="Verdana" w:hAnsi="Verdana"/>
              </w:rPr>
            </w:pPr>
            <w:r>
              <w:rPr>
                <w:sz w:val="18"/>
                <w:rFonts w:ascii="Verdana" w:hAnsi="Verdana"/>
              </w:rPr>
              <w:t xml:space="preserve">21 deri 31</w:t>
            </w:r>
          </w:p>
          <w:p w14:paraId="48504862" w14:textId="307D4B02" w:rsidR="00C70C5C" w:rsidRDefault="00C70C5C"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69D19EF7" w14:textId="7F7014D6" w:rsidR="0044155B" w:rsidRPr="0044155B" w:rsidRDefault="0044155B" w:rsidP="006B1F8C">
            <w:pPr>
              <w:pStyle w:val="Subtitle"/>
              <w:rPr>
                <w:rFonts w:ascii="Verdana" w:eastAsia="Times New Roman" w:hAnsi="Verdana"/>
              </w:rPr>
            </w:pPr>
            <w:r>
              <w:rPr>
                <w:rFonts w:ascii="Verdana" w:hAnsi="Verdana"/>
              </w:rPr>
              <w:t xml:space="preserve">Këto slajde shpjegojnë veprën e përgjimit të jashtëligjshëm, siç parashihet në nenin 3 të Konventës së Budapestit.</w:t>
            </w:r>
            <w:r>
              <w:rPr>
                <w:rFonts w:ascii="Verdana" w:hAnsi="Verdana"/>
              </w:rPr>
              <w:t xml:space="preserve"> </w:t>
            </w:r>
          </w:p>
          <w:p w14:paraId="29CC5D32" w14:textId="697DF4B2" w:rsidR="0044155B" w:rsidRPr="0044155B" w:rsidRDefault="0044155B" w:rsidP="006B1F8C">
            <w:pPr>
              <w:pStyle w:val="Subtitle"/>
              <w:rPr>
                <w:rFonts w:ascii="Verdana" w:eastAsia="Times New Roman" w:hAnsi="Verdana"/>
              </w:rPr>
            </w:pPr>
            <w:r>
              <w:rPr>
                <w:rFonts w:ascii="Verdana" w:hAnsi="Verdana"/>
              </w:rPr>
              <w:t xml:space="preserve">Grupi i parë i slajdeve ofron një përmbledhje të elementeve kryesore të nenit 3 të Konventës së Budapestit.</w:t>
            </w:r>
            <w:r>
              <w:rPr>
                <w:rFonts w:ascii="Verdana" w:hAnsi="Verdana"/>
              </w:rPr>
              <w:t xml:space="preserve"> </w:t>
            </w:r>
            <w:r>
              <w:rPr>
                <w:rFonts w:ascii="Verdana" w:hAnsi="Verdana"/>
              </w:rPr>
              <w:t xml:space="preserve">Ai gjithashtu ofron dy raste studimore të veprës penale të përgjimit të jashtëligjshëm në vende të ndryshme.</w:t>
            </w:r>
          </w:p>
          <w:p w14:paraId="4AF5B3D7" w14:textId="2FB11A96" w:rsidR="00C70C5C" w:rsidRPr="00C70C5C" w:rsidRDefault="0044155B" w:rsidP="006B1F8C">
            <w:pPr>
              <w:spacing w:line="360" w:lineRule="auto"/>
              <w:jc w:val="both"/>
              <w:rPr>
                <w:iCs/>
                <w:color w:val="000000" w:themeColor="text1"/>
                <w:sz w:val="18"/>
                <w:rFonts w:ascii="Verdana" w:eastAsia="Times New Roman" w:hAnsi="Verdana" w:cstheme="majorBidi"/>
              </w:rPr>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3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3 të Konventës së Budapestit.</w:t>
            </w:r>
          </w:p>
        </w:tc>
      </w:tr>
      <w:tr w:rsidR="00F1574D" w:rsidRPr="00D82C18" w14:paraId="3C4A313A" w14:textId="77777777" w:rsidTr="00F1574D">
        <w:trPr>
          <w:trHeight w:val="890"/>
        </w:trPr>
        <w:tc>
          <w:tcPr>
            <w:tcW w:w="1525" w:type="dxa"/>
            <w:vAlign w:val="center"/>
          </w:tcPr>
          <w:p w14:paraId="1D843CBC" w14:textId="2525E066" w:rsidR="00556D69" w:rsidRDefault="006B3820" w:rsidP="00F1574D">
            <w:pPr>
              <w:spacing w:before="120" w:after="120" w:line="280" w:lineRule="exact"/>
              <w:jc w:val="center"/>
              <w:rPr>
                <w:sz w:val="18"/>
                <w:szCs w:val="18"/>
                <w:rFonts w:ascii="Verdana" w:hAnsi="Verdana"/>
              </w:rPr>
            </w:pPr>
            <w:r>
              <w:rPr>
                <w:sz w:val="18"/>
                <w:rFonts w:ascii="Verdana" w:hAnsi="Verdana"/>
              </w:rPr>
              <w:t xml:space="preserve">32 deri 41</w:t>
            </w:r>
          </w:p>
          <w:p w14:paraId="00098EC4" w14:textId="009BEBF1" w:rsidR="00F1574D" w:rsidRPr="003F6587" w:rsidRDefault="00F1574D"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1053A814" w14:textId="70CD511C" w:rsidR="006B1F8C" w:rsidRPr="0044155B" w:rsidRDefault="006B1F8C" w:rsidP="006B1F8C">
            <w:pPr>
              <w:pStyle w:val="Subtitle"/>
              <w:rPr>
                <w:rFonts w:ascii="Verdana" w:eastAsia="Times New Roman" w:hAnsi="Verdana"/>
              </w:rPr>
            </w:pPr>
            <w:r>
              <w:rPr>
                <w:rFonts w:ascii="Verdana" w:hAnsi="Verdana"/>
              </w:rPr>
              <w:t xml:space="preserve">Këto slajde shpjegojnë veprën e ndërhyrjes në të dhëna, siç parashihet në nenin 4 të Konventës së Budapestit.</w:t>
            </w:r>
            <w:r>
              <w:rPr>
                <w:rFonts w:ascii="Verdana" w:hAnsi="Verdana"/>
              </w:rPr>
              <w:t xml:space="preserve"> </w:t>
            </w:r>
          </w:p>
          <w:p w14:paraId="7463BA10" w14:textId="6F0476D0" w:rsidR="006B1F8C" w:rsidRPr="0044155B" w:rsidRDefault="006B1F8C" w:rsidP="006B1F8C">
            <w:pPr>
              <w:pStyle w:val="Subtitle"/>
              <w:rPr>
                <w:rFonts w:ascii="Verdana" w:eastAsia="Times New Roman" w:hAnsi="Verdana"/>
              </w:rPr>
            </w:pPr>
            <w:r>
              <w:rPr>
                <w:rFonts w:ascii="Verdana" w:hAnsi="Verdana"/>
              </w:rPr>
              <w:t xml:space="preserve">Grupi i parë i slajdeve ofron një përmbledhje të elementeve kryesore të nenit 4 të Konventës së Budapestit.</w:t>
            </w:r>
            <w:r>
              <w:rPr>
                <w:rFonts w:ascii="Verdana" w:hAnsi="Verdana"/>
              </w:rPr>
              <w:t xml:space="preserve"> </w:t>
            </w:r>
            <w:r>
              <w:rPr>
                <w:rFonts w:ascii="Verdana" w:hAnsi="Verdana"/>
              </w:rPr>
              <w:t xml:space="preserve">Këto slajde gjithashtu ofrojnë një studim rasti të një burri Australian i cili u gjykua për gjoja kryerjen e veprës penale të ndërhyrjes në të dhëna.</w:t>
            </w:r>
            <w:r>
              <w:rPr>
                <w:rFonts w:ascii="Verdana" w:hAnsi="Verdana"/>
              </w:rPr>
              <w:t xml:space="preserve"> </w:t>
            </w:r>
            <w:r>
              <w:rPr>
                <w:rFonts w:ascii="Verdana" w:hAnsi="Verdana"/>
              </w:rPr>
              <w:t xml:space="preserve">Slajdet gjithashtu kanë një foto të një kali trojan, që mund të përdoret nga trajneri për të shpjeguar se si trojanët mund të përdoren për të kryer veprën e ndërhyrjes në të dhëna.</w:t>
            </w:r>
          </w:p>
          <w:p w14:paraId="09B693A1" w14:textId="15F6C6AC" w:rsidR="00556D69" w:rsidRPr="006527C6" w:rsidRDefault="006B1F8C" w:rsidP="006B1F8C">
            <w:pPr>
              <w:spacing w:after="120" w:line="360" w:lineRule="auto"/>
              <w:jc w:val="both"/>
              <w:rPr>
                <w:sz w:val="18"/>
                <w:szCs w:val="18"/>
                <w:rFonts w:ascii="Verdana" w:hAnsi="Verdana"/>
              </w:rPr>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4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4 të Konventës së Budapestit.</w:t>
            </w:r>
          </w:p>
        </w:tc>
      </w:tr>
      <w:tr w:rsidR="006B3820" w:rsidRPr="00D82C18" w14:paraId="7889FCA6" w14:textId="77777777" w:rsidTr="00F1574D">
        <w:trPr>
          <w:trHeight w:val="890"/>
        </w:trPr>
        <w:tc>
          <w:tcPr>
            <w:tcW w:w="1525" w:type="dxa"/>
            <w:vAlign w:val="center"/>
          </w:tcPr>
          <w:p w14:paraId="5F0CB5BC" w14:textId="7F264D37" w:rsidR="006B3820" w:rsidRDefault="006B3820" w:rsidP="006B3820">
            <w:pPr>
              <w:spacing w:before="120" w:after="120" w:line="280" w:lineRule="exact"/>
              <w:jc w:val="center"/>
              <w:rPr>
                <w:sz w:val="18"/>
                <w:szCs w:val="18"/>
                <w:rFonts w:ascii="Verdana" w:hAnsi="Verdana"/>
              </w:rPr>
            </w:pPr>
            <w:r>
              <w:rPr>
                <w:sz w:val="18"/>
                <w:rFonts w:ascii="Verdana" w:hAnsi="Verdana"/>
              </w:rPr>
              <w:t xml:space="preserve">42 deri 52</w:t>
            </w:r>
          </w:p>
          <w:p w14:paraId="49D80A1F" w14:textId="05A4CEA2" w:rsidR="006B3820" w:rsidRDefault="006B3820" w:rsidP="006B3820">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60E22768" w14:textId="2682031D" w:rsidR="00EF6868" w:rsidRPr="0044155B" w:rsidRDefault="00EF6868" w:rsidP="00EF6868">
            <w:pPr>
              <w:pStyle w:val="Subtitle"/>
              <w:rPr>
                <w:rFonts w:ascii="Verdana" w:eastAsia="Times New Roman" w:hAnsi="Verdana"/>
              </w:rPr>
            </w:pPr>
            <w:r>
              <w:rPr>
                <w:rFonts w:ascii="Verdana" w:hAnsi="Verdana"/>
              </w:rPr>
              <w:t xml:space="preserve">Këto slajde shpjegojnë veprën e ndërhyrjes në sistem, siç parashihet në nenin 5 të Konventës së Budapestit.</w:t>
            </w:r>
            <w:r>
              <w:rPr>
                <w:rFonts w:ascii="Verdana" w:hAnsi="Verdana"/>
              </w:rPr>
              <w:t xml:space="preserve"> </w:t>
            </w:r>
          </w:p>
          <w:p w14:paraId="5F0EA70F" w14:textId="4320E7A8" w:rsidR="00EF6868" w:rsidRPr="0044155B" w:rsidRDefault="00EF6868" w:rsidP="00EF6868">
            <w:pPr>
              <w:pStyle w:val="Subtitle"/>
              <w:rPr>
                <w:rFonts w:ascii="Verdana" w:eastAsia="Times New Roman" w:hAnsi="Verdana"/>
              </w:rPr>
            </w:pPr>
            <w:r>
              <w:rPr>
                <w:rFonts w:ascii="Verdana" w:hAnsi="Verdana"/>
              </w:rPr>
              <w:t xml:space="preserve">Grupi i parë i slajdeve ofron një përmbledhje të elementeve kryesore të nenit 5 të Konventës së Budapestit.</w:t>
            </w:r>
            <w:r>
              <w:rPr>
                <w:rFonts w:ascii="Verdana" w:hAnsi="Verdana"/>
              </w:rPr>
              <w:t xml:space="preserve"> </w:t>
            </w:r>
            <w:r>
              <w:rPr>
                <w:rFonts w:ascii="Verdana" w:hAnsi="Verdana"/>
              </w:rPr>
              <w:t xml:space="preserve">Këto slajde përfshijnë disa imazhe që mund të përdoren për të fituar interesimin e pjesëmarrësve - të cilët kërkojnë të krahasojnë sistemet telekomunikuese me internetin, për të siguruar një kontekst mbi sulmet DDOS - një lloj ndërhyrjeje në sistem.</w:t>
            </w:r>
            <w:r>
              <w:rPr>
                <w:rFonts w:ascii="Verdana" w:hAnsi="Verdana"/>
              </w:rPr>
              <w:t xml:space="preserve"> </w:t>
            </w:r>
            <w:r>
              <w:rPr>
                <w:rFonts w:ascii="Verdana" w:hAnsi="Verdana"/>
              </w:rPr>
              <w:t xml:space="preserve">Këto slajde përfshijnë gjithashtu një studim rasti të një burri të dënuar me gjashtë vjet burgim për kryerjen e ndërhyrjes në sistem.</w:t>
            </w:r>
            <w:r>
              <w:rPr>
                <w:rFonts w:ascii="Verdana" w:hAnsi="Verdana"/>
              </w:rPr>
              <w:t xml:space="preserve"> </w:t>
            </w:r>
          </w:p>
          <w:p w14:paraId="00091C29" w14:textId="1A840EB0" w:rsidR="006B3820" w:rsidRDefault="00EF6868" w:rsidP="00EF6868">
            <w:pPr>
              <w:spacing w:after="120" w:line="360" w:lineRule="auto"/>
              <w:jc w:val="both"/>
              <w:rPr>
                <w:sz w:val="18"/>
                <w:szCs w:val="18"/>
                <w:rFonts w:ascii="Verdana" w:hAnsi="Verdana"/>
              </w:rPr>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5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5 të Konventës së Budapestit.</w:t>
            </w:r>
          </w:p>
        </w:tc>
      </w:tr>
      <w:tr w:rsidR="006B3820" w:rsidRPr="00D82C18" w14:paraId="22522EB3" w14:textId="77777777" w:rsidTr="00F1574D">
        <w:trPr>
          <w:trHeight w:val="890"/>
        </w:trPr>
        <w:tc>
          <w:tcPr>
            <w:tcW w:w="1525" w:type="dxa"/>
            <w:vAlign w:val="center"/>
          </w:tcPr>
          <w:p w14:paraId="7B6D384E" w14:textId="240264F8" w:rsidR="006B3820" w:rsidRDefault="006B3820" w:rsidP="006B3820">
            <w:pPr>
              <w:spacing w:before="120" w:after="120" w:line="280" w:lineRule="exact"/>
              <w:jc w:val="center"/>
              <w:rPr>
                <w:sz w:val="18"/>
                <w:szCs w:val="18"/>
                <w:rFonts w:ascii="Verdana" w:hAnsi="Verdana"/>
              </w:rPr>
            </w:pPr>
            <w:r>
              <w:rPr>
                <w:sz w:val="18"/>
                <w:rFonts w:ascii="Verdana" w:hAnsi="Verdana"/>
              </w:rPr>
              <w:t xml:space="preserve">53 deri 66</w:t>
            </w:r>
          </w:p>
          <w:p w14:paraId="40F04CE8" w14:textId="2815F5F5" w:rsidR="006B3820" w:rsidRDefault="006B3820" w:rsidP="006B3820">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74F4491F" w14:textId="5EB0F7EB" w:rsidR="007F38AC" w:rsidRPr="0044155B" w:rsidRDefault="007F38AC" w:rsidP="007F38AC">
            <w:pPr>
              <w:pStyle w:val="Subtitle"/>
              <w:rPr>
                <w:rFonts w:ascii="Verdana" w:eastAsia="Times New Roman" w:hAnsi="Verdana"/>
              </w:rPr>
            </w:pPr>
            <w:r>
              <w:rPr>
                <w:rFonts w:ascii="Verdana" w:hAnsi="Verdana"/>
              </w:rPr>
              <w:t xml:space="preserve">Këto slajde shpjegojnë veprën e keqpërdorimit të pajisjeve, siç parashihet në nenin 6 të Konventës së Budapestit.</w:t>
            </w:r>
            <w:r>
              <w:rPr>
                <w:rFonts w:ascii="Verdana" w:hAnsi="Verdana"/>
              </w:rPr>
              <w:t xml:space="preserve"> </w:t>
            </w:r>
          </w:p>
          <w:p w14:paraId="5AA62AEA" w14:textId="640B1228" w:rsidR="007F38AC" w:rsidRPr="0044155B" w:rsidRDefault="007F38AC" w:rsidP="007F38AC">
            <w:pPr>
              <w:pStyle w:val="Subtitle"/>
              <w:rPr>
                <w:rFonts w:ascii="Verdana" w:eastAsia="Times New Roman" w:hAnsi="Verdana"/>
              </w:rPr>
            </w:pPr>
            <w:r>
              <w:rPr>
                <w:rFonts w:ascii="Verdana" w:hAnsi="Verdana"/>
              </w:rPr>
              <w:t xml:space="preserve">Grupi i parë i slajdeve ofron një përmbledhje të elementeve kryesore të nenit 6 të Konventës së Budapestit.</w:t>
            </w:r>
            <w:r>
              <w:rPr>
                <w:rFonts w:ascii="Verdana" w:hAnsi="Verdana"/>
              </w:rPr>
              <w:t xml:space="preserve"> </w:t>
            </w:r>
            <w:r>
              <w:rPr>
                <w:rFonts w:ascii="Verdana" w:hAnsi="Verdana"/>
              </w:rPr>
              <w:t xml:space="preserve">Këto slajde përfshijnë disa imazhe të pajisjeve të skimming që janë një manifestim i zakonshëm i veprës së keqpërdorimit të pajisjeve.</w:t>
            </w:r>
            <w:r>
              <w:rPr>
                <w:rFonts w:ascii="Verdana" w:hAnsi="Verdana"/>
              </w:rPr>
              <w:t xml:space="preserve"> </w:t>
            </w:r>
            <w:r>
              <w:rPr>
                <w:rFonts w:ascii="Verdana" w:hAnsi="Verdana"/>
              </w:rPr>
              <w:t xml:space="preserve">Këto slajde gjithashtu ofrojnë dy raste studimore të veprës së keqpërdorimit të pajisjeve.</w:t>
            </w:r>
            <w:r>
              <w:rPr>
                <w:rFonts w:ascii="Verdana" w:hAnsi="Verdana"/>
              </w:rPr>
              <w:t xml:space="preserve"> </w:t>
            </w:r>
          </w:p>
          <w:p w14:paraId="5DC3243D" w14:textId="4D0EC159" w:rsidR="006B3820" w:rsidRDefault="007F38AC" w:rsidP="007F38AC">
            <w:pPr>
              <w:spacing w:after="120" w:line="360" w:lineRule="auto"/>
              <w:jc w:val="both"/>
              <w:rPr>
                <w:sz w:val="18"/>
                <w:szCs w:val="18"/>
                <w:rFonts w:ascii="Verdana" w:hAnsi="Verdana"/>
              </w:rPr>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6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6 të Konventës së Budapestit.</w:t>
            </w:r>
          </w:p>
        </w:tc>
      </w:tr>
      <w:tr w:rsidR="00F1574D" w:rsidRPr="00D82C18" w14:paraId="35503B3F" w14:textId="77777777" w:rsidTr="00F1574D">
        <w:trPr>
          <w:trHeight w:val="1259"/>
        </w:trPr>
        <w:tc>
          <w:tcPr>
            <w:tcW w:w="1525" w:type="dxa"/>
            <w:vAlign w:val="center"/>
          </w:tcPr>
          <w:p w14:paraId="5A87A945" w14:textId="60A69482" w:rsidR="00556D69" w:rsidRDefault="006B3820" w:rsidP="00F1574D">
            <w:pPr>
              <w:spacing w:before="120" w:after="120" w:line="280" w:lineRule="exact"/>
              <w:jc w:val="center"/>
              <w:rPr>
                <w:sz w:val="18"/>
                <w:szCs w:val="18"/>
                <w:rFonts w:ascii="Verdana" w:hAnsi="Verdana"/>
              </w:rPr>
            </w:pPr>
            <w:r>
              <w:rPr>
                <w:sz w:val="18"/>
                <w:rFonts w:ascii="Verdana" w:hAnsi="Verdana"/>
              </w:rPr>
              <w:t xml:space="preserve">67 deri 68</w:t>
            </w:r>
          </w:p>
          <w:p w14:paraId="5DE9D224" w14:textId="2175AE8F" w:rsidR="00F1574D" w:rsidRPr="006527C6" w:rsidRDefault="00F1574D" w:rsidP="00F1574D">
            <w:pPr>
              <w:spacing w:before="120" w:after="120" w:line="280" w:lineRule="exact"/>
              <w:jc w:val="center"/>
              <w:rPr>
                <w:sz w:val="18"/>
                <w:szCs w:val="18"/>
                <w:rFonts w:ascii="Verdana" w:hAnsi="Verdana"/>
              </w:rPr>
            </w:pPr>
            <w:r>
              <w:rPr>
                <w:sz w:val="18"/>
                <w:rFonts w:ascii="Verdana" w:hAnsi="Verdana"/>
              </w:rPr>
              <w:t xml:space="preserve">Slajdet e rëndësishme</w:t>
            </w:r>
          </w:p>
        </w:tc>
        <w:tc>
          <w:tcPr>
            <w:tcW w:w="7485" w:type="dxa"/>
            <w:gridSpan w:val="2"/>
            <w:vAlign w:val="center"/>
          </w:tcPr>
          <w:p w14:paraId="6E2FA816" w14:textId="1AB02424" w:rsidR="00314D32" w:rsidRPr="00314D32" w:rsidRDefault="006527C6" w:rsidP="00314D32">
            <w:pPr>
              <w:pStyle w:val="Subtitle"/>
              <w:spacing w:line="360" w:lineRule="auto"/>
            </w:pPr>
            <w:r>
              <w:rPr>
                <w:rFonts w:ascii="Verdana" w:hAnsi="Verdana"/>
              </w:rPr>
              <w:t xml:space="preserve">Këto slajde e mbyllin seancën - duke përmbledhur përmbajtjen dhe duke u dhënë mundësi pjesëmarrësve të bëjnë pyetje për sqarim.</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Ushtrime praktike</w:t>
            </w:r>
          </w:p>
          <w:p w14:paraId="04D65D89" w14:textId="53DBD58E" w:rsidR="00CB3026" w:rsidRPr="00CB3026" w:rsidRDefault="009B4375" w:rsidP="00B3608C">
            <w:pPr>
              <w:spacing w:before="120" w:after="120" w:line="280" w:lineRule="exact"/>
              <w:rPr>
                <w:sz w:val="18"/>
                <w:szCs w:val="18"/>
                <w:rFonts w:ascii="Verdana" w:hAnsi="Verdana"/>
              </w:rPr>
            </w:pPr>
            <w:r>
              <w:rPr>
                <w:color w:val="000000" w:themeColor="text1"/>
                <w:sz w:val="18"/>
                <w:rFonts w:ascii="Verdana" w:hAnsi="Verdana"/>
              </w:rPr>
              <w:t xml:space="preserve">Nuk ka ushtrime praktike të lidhura me këtë orë mësimore.</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Vlerësimi/Kontrolli i njohurive</w:t>
            </w:r>
          </w:p>
          <w:p w14:paraId="4496975B" w14:textId="1B3740FD" w:rsidR="00CB3026" w:rsidRPr="00CB3026" w:rsidRDefault="00CB3026" w:rsidP="00B3608C">
            <w:pPr>
              <w:spacing w:before="120" w:after="120" w:line="280" w:lineRule="exact"/>
              <w:rPr>
                <w:sz w:val="18"/>
                <w:szCs w:val="18"/>
                <w:rFonts w:ascii="Verdana" w:hAnsi="Verdana"/>
              </w:rPr>
            </w:pPr>
            <w:r>
              <w:rPr>
                <w:color w:val="000000" w:themeColor="text1"/>
                <w:sz w:val="18"/>
                <w:rFonts w:ascii="Verdana" w:hAnsi="Verdana"/>
              </w:rPr>
              <w:t xml:space="preserve">Asnjë kontroll ose vlerësim i njohurive nuk është kërkuar për këtë seancë.</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9ED7182"/>
    <w:multiLevelType w:val="hybridMultilevel"/>
    <w:tmpl w:val="AE0A4102"/>
    <w:lvl w:ilvl="0" w:tplc="BA943A2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5B1088"/>
    <w:multiLevelType w:val="hybridMultilevel"/>
    <w:tmpl w:val="D0F02118"/>
    <w:lvl w:ilvl="0" w:tplc="0F5A393E">
      <w:start w:val="1"/>
      <w:numFmt w:val="bullet"/>
      <w:lvlText w:val="•"/>
      <w:lvlJc w:val="left"/>
      <w:pPr>
        <w:tabs>
          <w:tab w:val="num" w:pos="720"/>
        </w:tabs>
        <w:ind w:left="720" w:hanging="360"/>
      </w:pPr>
      <w:rPr>
        <w:rFonts w:ascii="Arial" w:hAnsi="Arial" w:hint="default"/>
      </w:rPr>
    </w:lvl>
    <w:lvl w:ilvl="1" w:tplc="85EE9598">
      <w:numFmt w:val="none"/>
      <w:lvlText w:val=""/>
      <w:lvlJc w:val="left"/>
      <w:pPr>
        <w:tabs>
          <w:tab w:val="num" w:pos="360"/>
        </w:tabs>
      </w:pPr>
    </w:lvl>
    <w:lvl w:ilvl="2" w:tplc="69A2CA32" w:tentative="1">
      <w:start w:val="1"/>
      <w:numFmt w:val="bullet"/>
      <w:lvlText w:val="•"/>
      <w:lvlJc w:val="left"/>
      <w:pPr>
        <w:tabs>
          <w:tab w:val="num" w:pos="2160"/>
        </w:tabs>
        <w:ind w:left="2160" w:hanging="360"/>
      </w:pPr>
      <w:rPr>
        <w:rFonts w:ascii="Arial" w:hAnsi="Arial" w:hint="default"/>
      </w:rPr>
    </w:lvl>
    <w:lvl w:ilvl="3" w:tplc="6208673C" w:tentative="1">
      <w:start w:val="1"/>
      <w:numFmt w:val="bullet"/>
      <w:lvlText w:val="•"/>
      <w:lvlJc w:val="left"/>
      <w:pPr>
        <w:tabs>
          <w:tab w:val="num" w:pos="2880"/>
        </w:tabs>
        <w:ind w:left="2880" w:hanging="360"/>
      </w:pPr>
      <w:rPr>
        <w:rFonts w:ascii="Arial" w:hAnsi="Arial" w:hint="default"/>
      </w:rPr>
    </w:lvl>
    <w:lvl w:ilvl="4" w:tplc="012413B6" w:tentative="1">
      <w:start w:val="1"/>
      <w:numFmt w:val="bullet"/>
      <w:lvlText w:val="•"/>
      <w:lvlJc w:val="left"/>
      <w:pPr>
        <w:tabs>
          <w:tab w:val="num" w:pos="3600"/>
        </w:tabs>
        <w:ind w:left="3600" w:hanging="360"/>
      </w:pPr>
      <w:rPr>
        <w:rFonts w:ascii="Arial" w:hAnsi="Arial" w:hint="default"/>
      </w:rPr>
    </w:lvl>
    <w:lvl w:ilvl="5" w:tplc="AE32386A" w:tentative="1">
      <w:start w:val="1"/>
      <w:numFmt w:val="bullet"/>
      <w:lvlText w:val="•"/>
      <w:lvlJc w:val="left"/>
      <w:pPr>
        <w:tabs>
          <w:tab w:val="num" w:pos="4320"/>
        </w:tabs>
        <w:ind w:left="4320" w:hanging="360"/>
      </w:pPr>
      <w:rPr>
        <w:rFonts w:ascii="Arial" w:hAnsi="Arial" w:hint="default"/>
      </w:rPr>
    </w:lvl>
    <w:lvl w:ilvl="6" w:tplc="A24CBACA" w:tentative="1">
      <w:start w:val="1"/>
      <w:numFmt w:val="bullet"/>
      <w:lvlText w:val="•"/>
      <w:lvlJc w:val="left"/>
      <w:pPr>
        <w:tabs>
          <w:tab w:val="num" w:pos="5040"/>
        </w:tabs>
        <w:ind w:left="5040" w:hanging="360"/>
      </w:pPr>
      <w:rPr>
        <w:rFonts w:ascii="Arial" w:hAnsi="Arial" w:hint="default"/>
      </w:rPr>
    </w:lvl>
    <w:lvl w:ilvl="7" w:tplc="5EB26354" w:tentative="1">
      <w:start w:val="1"/>
      <w:numFmt w:val="bullet"/>
      <w:lvlText w:val="•"/>
      <w:lvlJc w:val="left"/>
      <w:pPr>
        <w:tabs>
          <w:tab w:val="num" w:pos="5760"/>
        </w:tabs>
        <w:ind w:left="5760" w:hanging="360"/>
      </w:pPr>
      <w:rPr>
        <w:rFonts w:ascii="Arial" w:hAnsi="Arial" w:hint="default"/>
      </w:rPr>
    </w:lvl>
    <w:lvl w:ilvl="8" w:tplc="0EBEE6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587E95"/>
    <w:multiLevelType w:val="hybridMultilevel"/>
    <w:tmpl w:val="669CC7C2"/>
    <w:lvl w:ilvl="0" w:tplc="4D6A5AB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5"/>
  </w:num>
  <w:num w:numId="5">
    <w:abstractNumId w:val="6"/>
  </w:num>
  <w:num w:numId="6">
    <w:abstractNumId w:val="13"/>
  </w:num>
  <w:num w:numId="7">
    <w:abstractNumId w:val="2"/>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2"/>
  </w:num>
  <w:num w:numId="10">
    <w:abstractNumId w:val="1"/>
  </w:num>
  <w:num w:numId="11">
    <w:abstractNumId w:val="11"/>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20466"/>
    <w:rsid w:val="00051376"/>
    <w:rsid w:val="000C40EE"/>
    <w:rsid w:val="000D0409"/>
    <w:rsid w:val="000F04E4"/>
    <w:rsid w:val="000F7896"/>
    <w:rsid w:val="001D603D"/>
    <w:rsid w:val="001E7389"/>
    <w:rsid w:val="00207B05"/>
    <w:rsid w:val="00271010"/>
    <w:rsid w:val="002E3ECE"/>
    <w:rsid w:val="002F3B54"/>
    <w:rsid w:val="00314D32"/>
    <w:rsid w:val="00317F0F"/>
    <w:rsid w:val="0034224C"/>
    <w:rsid w:val="00342639"/>
    <w:rsid w:val="003453F7"/>
    <w:rsid w:val="003630ED"/>
    <w:rsid w:val="00372572"/>
    <w:rsid w:val="00394BB8"/>
    <w:rsid w:val="003A435F"/>
    <w:rsid w:val="003F6587"/>
    <w:rsid w:val="00437AF3"/>
    <w:rsid w:val="0044155B"/>
    <w:rsid w:val="00450007"/>
    <w:rsid w:val="00457DD3"/>
    <w:rsid w:val="004B1CB0"/>
    <w:rsid w:val="004B7351"/>
    <w:rsid w:val="00514FE0"/>
    <w:rsid w:val="00556D69"/>
    <w:rsid w:val="005703B7"/>
    <w:rsid w:val="005A4E47"/>
    <w:rsid w:val="005D4432"/>
    <w:rsid w:val="006527C6"/>
    <w:rsid w:val="00671ADF"/>
    <w:rsid w:val="006B0B52"/>
    <w:rsid w:val="006B1F8C"/>
    <w:rsid w:val="006B3820"/>
    <w:rsid w:val="006E7FBC"/>
    <w:rsid w:val="0075334E"/>
    <w:rsid w:val="007678A6"/>
    <w:rsid w:val="007E3B3E"/>
    <w:rsid w:val="007F38AC"/>
    <w:rsid w:val="008109E9"/>
    <w:rsid w:val="00844FBF"/>
    <w:rsid w:val="008817F1"/>
    <w:rsid w:val="008A4C93"/>
    <w:rsid w:val="008C3900"/>
    <w:rsid w:val="008E3FE7"/>
    <w:rsid w:val="00906F18"/>
    <w:rsid w:val="00951791"/>
    <w:rsid w:val="009B4375"/>
    <w:rsid w:val="009B55D1"/>
    <w:rsid w:val="009D1DB1"/>
    <w:rsid w:val="009E1390"/>
    <w:rsid w:val="009E3827"/>
    <w:rsid w:val="009F336B"/>
    <w:rsid w:val="00A03CF0"/>
    <w:rsid w:val="00A342ED"/>
    <w:rsid w:val="00A4110D"/>
    <w:rsid w:val="00A439ED"/>
    <w:rsid w:val="00A55067"/>
    <w:rsid w:val="00A734A5"/>
    <w:rsid w:val="00A74106"/>
    <w:rsid w:val="00A76996"/>
    <w:rsid w:val="00A94D8B"/>
    <w:rsid w:val="00AA5742"/>
    <w:rsid w:val="00AC1380"/>
    <w:rsid w:val="00AC45A8"/>
    <w:rsid w:val="00B3608C"/>
    <w:rsid w:val="00B95935"/>
    <w:rsid w:val="00BA7368"/>
    <w:rsid w:val="00BF19D0"/>
    <w:rsid w:val="00C115FC"/>
    <w:rsid w:val="00C338F6"/>
    <w:rsid w:val="00C541A2"/>
    <w:rsid w:val="00C70C5C"/>
    <w:rsid w:val="00CB02C4"/>
    <w:rsid w:val="00CB3026"/>
    <w:rsid w:val="00CC1F79"/>
    <w:rsid w:val="00CE2BCA"/>
    <w:rsid w:val="00D82C18"/>
    <w:rsid w:val="00E13BE7"/>
    <w:rsid w:val="00E7344B"/>
    <w:rsid w:val="00E95703"/>
    <w:rsid w:val="00EF6868"/>
    <w:rsid w:val="00F1574D"/>
    <w:rsid w:val="00F504D6"/>
    <w:rsid w:val="00F62A15"/>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8349">
      <w:bodyDiv w:val="1"/>
      <w:marLeft w:val="0"/>
      <w:marRight w:val="0"/>
      <w:marTop w:val="0"/>
      <w:marBottom w:val="0"/>
      <w:divBdr>
        <w:top w:val="none" w:sz="0" w:space="0" w:color="auto"/>
        <w:left w:val="none" w:sz="0" w:space="0" w:color="auto"/>
        <w:bottom w:val="none" w:sz="0" w:space="0" w:color="auto"/>
        <w:right w:val="none" w:sz="0" w:space="0" w:color="auto"/>
      </w:divBdr>
      <w:divsChild>
        <w:div w:id="1695498391">
          <w:marLeft w:val="547"/>
          <w:marRight w:val="0"/>
          <w:marTop w:val="115"/>
          <w:marBottom w:val="0"/>
          <w:divBdr>
            <w:top w:val="none" w:sz="0" w:space="0" w:color="auto"/>
            <w:left w:val="none" w:sz="0" w:space="0" w:color="auto"/>
            <w:bottom w:val="none" w:sz="0" w:space="0" w:color="auto"/>
            <w:right w:val="none" w:sz="0" w:space="0" w:color="auto"/>
          </w:divBdr>
        </w:div>
        <w:div w:id="1340548569">
          <w:marLeft w:val="1166"/>
          <w:marRight w:val="0"/>
          <w:marTop w:val="96"/>
          <w:marBottom w:val="0"/>
          <w:divBdr>
            <w:top w:val="none" w:sz="0" w:space="0" w:color="auto"/>
            <w:left w:val="none" w:sz="0" w:space="0" w:color="auto"/>
            <w:bottom w:val="none" w:sz="0" w:space="0" w:color="auto"/>
            <w:right w:val="none" w:sz="0" w:space="0" w:color="auto"/>
          </w:divBdr>
        </w:div>
        <w:div w:id="1783576920">
          <w:marLeft w:val="1166"/>
          <w:marRight w:val="0"/>
          <w:marTop w:val="96"/>
          <w:marBottom w:val="0"/>
          <w:divBdr>
            <w:top w:val="none" w:sz="0" w:space="0" w:color="auto"/>
            <w:left w:val="none" w:sz="0" w:space="0" w:color="auto"/>
            <w:bottom w:val="none" w:sz="0" w:space="0" w:color="auto"/>
            <w:right w:val="none" w:sz="0" w:space="0" w:color="auto"/>
          </w:divBdr>
        </w:div>
        <w:div w:id="164784659">
          <w:marLeft w:val="1166"/>
          <w:marRight w:val="0"/>
          <w:marTop w:val="96"/>
          <w:marBottom w:val="0"/>
          <w:divBdr>
            <w:top w:val="none" w:sz="0" w:space="0" w:color="auto"/>
            <w:left w:val="none" w:sz="0" w:space="0" w:color="auto"/>
            <w:bottom w:val="none" w:sz="0" w:space="0" w:color="auto"/>
            <w:right w:val="none" w:sz="0" w:space="0" w:color="auto"/>
          </w:divBdr>
        </w:div>
        <w:div w:id="1305815970">
          <w:marLeft w:val="1166"/>
          <w:marRight w:val="0"/>
          <w:marTop w:val="96"/>
          <w:marBottom w:val="0"/>
          <w:divBdr>
            <w:top w:val="none" w:sz="0" w:space="0" w:color="auto"/>
            <w:left w:val="none" w:sz="0" w:space="0" w:color="auto"/>
            <w:bottom w:val="none" w:sz="0" w:space="0" w:color="auto"/>
            <w:right w:val="none" w:sz="0" w:space="0" w:color="auto"/>
          </w:divBdr>
        </w:div>
        <w:div w:id="228806894">
          <w:marLeft w:val="547"/>
          <w:marRight w:val="0"/>
          <w:marTop w:val="115"/>
          <w:marBottom w:val="0"/>
          <w:divBdr>
            <w:top w:val="none" w:sz="0" w:space="0" w:color="auto"/>
            <w:left w:val="none" w:sz="0" w:space="0" w:color="auto"/>
            <w:bottom w:val="none" w:sz="0" w:space="0" w:color="auto"/>
            <w:right w:val="none" w:sz="0" w:space="0" w:color="auto"/>
          </w:divBdr>
        </w:div>
        <w:div w:id="1400901408">
          <w:marLeft w:val="1166"/>
          <w:marRight w:val="0"/>
          <w:marTop w:val="115"/>
          <w:marBottom w:val="0"/>
          <w:divBdr>
            <w:top w:val="none" w:sz="0" w:space="0" w:color="auto"/>
            <w:left w:val="none" w:sz="0" w:space="0" w:color="auto"/>
            <w:bottom w:val="none" w:sz="0" w:space="0" w:color="auto"/>
            <w:right w:val="none" w:sz="0" w:space="0" w:color="auto"/>
          </w:divBdr>
        </w:div>
        <w:div w:id="156504918">
          <w:marLeft w:val="1166"/>
          <w:marRight w:val="0"/>
          <w:marTop w:val="115"/>
          <w:marBottom w:val="0"/>
          <w:divBdr>
            <w:top w:val="none" w:sz="0" w:space="0" w:color="auto"/>
            <w:left w:val="none" w:sz="0" w:space="0" w:color="auto"/>
            <w:bottom w:val="none" w:sz="0" w:space="0" w:color="auto"/>
            <w:right w:val="none" w:sz="0" w:space="0" w:color="auto"/>
          </w:divBdr>
        </w:div>
        <w:div w:id="210271787">
          <w:marLeft w:val="1166"/>
          <w:marRight w:val="0"/>
          <w:marTop w:val="115"/>
          <w:marBottom w:val="0"/>
          <w:divBdr>
            <w:top w:val="none" w:sz="0" w:space="0" w:color="auto"/>
            <w:left w:val="none" w:sz="0" w:space="0" w:color="auto"/>
            <w:bottom w:val="none" w:sz="0" w:space="0" w:color="auto"/>
            <w:right w:val="none" w:sz="0" w:space="0" w:color="auto"/>
          </w:divBdr>
        </w:div>
        <w:div w:id="1414084995">
          <w:marLeft w:val="1166"/>
          <w:marRight w:val="0"/>
          <w:marTop w:val="115"/>
          <w:marBottom w:val="0"/>
          <w:divBdr>
            <w:top w:val="none" w:sz="0" w:space="0" w:color="auto"/>
            <w:left w:val="none" w:sz="0" w:space="0" w:color="auto"/>
            <w:bottom w:val="none" w:sz="0" w:space="0" w:color="auto"/>
            <w:right w:val="none" w:sz="0" w:space="0" w:color="auto"/>
          </w:divBdr>
        </w:div>
        <w:div w:id="843980992">
          <w:marLeft w:val="1166"/>
          <w:marRight w:val="0"/>
          <w:marTop w:val="115"/>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794446008">
      <w:bodyDiv w:val="1"/>
      <w:marLeft w:val="0"/>
      <w:marRight w:val="0"/>
      <w:marTop w:val="0"/>
      <w:marBottom w:val="0"/>
      <w:divBdr>
        <w:top w:val="none" w:sz="0" w:space="0" w:color="auto"/>
        <w:left w:val="none" w:sz="0" w:space="0" w:color="auto"/>
        <w:bottom w:val="none" w:sz="0" w:space="0" w:color="auto"/>
        <w:right w:val="none" w:sz="0" w:space="0" w:color="auto"/>
      </w:divBdr>
      <w:divsChild>
        <w:div w:id="247621803">
          <w:marLeft w:val="547"/>
          <w:marRight w:val="0"/>
          <w:marTop w:val="115"/>
          <w:marBottom w:val="0"/>
          <w:divBdr>
            <w:top w:val="none" w:sz="0" w:space="0" w:color="auto"/>
            <w:left w:val="none" w:sz="0" w:space="0" w:color="auto"/>
            <w:bottom w:val="none" w:sz="0" w:space="0" w:color="auto"/>
            <w:right w:val="none" w:sz="0" w:space="0" w:color="auto"/>
          </w:divBdr>
        </w:div>
        <w:div w:id="1042438913">
          <w:marLeft w:val="1166"/>
          <w:marRight w:val="0"/>
          <w:marTop w:val="96"/>
          <w:marBottom w:val="0"/>
          <w:divBdr>
            <w:top w:val="none" w:sz="0" w:space="0" w:color="auto"/>
            <w:left w:val="none" w:sz="0" w:space="0" w:color="auto"/>
            <w:bottom w:val="none" w:sz="0" w:space="0" w:color="auto"/>
            <w:right w:val="none" w:sz="0" w:space="0" w:color="auto"/>
          </w:divBdr>
        </w:div>
        <w:div w:id="948001505">
          <w:marLeft w:val="1166"/>
          <w:marRight w:val="0"/>
          <w:marTop w:val="96"/>
          <w:marBottom w:val="0"/>
          <w:divBdr>
            <w:top w:val="none" w:sz="0" w:space="0" w:color="auto"/>
            <w:left w:val="none" w:sz="0" w:space="0" w:color="auto"/>
            <w:bottom w:val="none" w:sz="0" w:space="0" w:color="auto"/>
            <w:right w:val="none" w:sz="0" w:space="0" w:color="auto"/>
          </w:divBdr>
        </w:div>
        <w:div w:id="963341168">
          <w:marLeft w:val="1166"/>
          <w:marRight w:val="0"/>
          <w:marTop w:val="96"/>
          <w:marBottom w:val="0"/>
          <w:divBdr>
            <w:top w:val="none" w:sz="0" w:space="0" w:color="auto"/>
            <w:left w:val="none" w:sz="0" w:space="0" w:color="auto"/>
            <w:bottom w:val="none" w:sz="0" w:space="0" w:color="auto"/>
            <w:right w:val="none" w:sz="0" w:space="0" w:color="auto"/>
          </w:divBdr>
        </w:div>
        <w:div w:id="2116779551">
          <w:marLeft w:val="1166"/>
          <w:marRight w:val="0"/>
          <w:marTop w:val="96"/>
          <w:marBottom w:val="0"/>
          <w:divBdr>
            <w:top w:val="none" w:sz="0" w:space="0" w:color="auto"/>
            <w:left w:val="none" w:sz="0" w:space="0" w:color="auto"/>
            <w:bottom w:val="none" w:sz="0" w:space="0" w:color="auto"/>
            <w:right w:val="none" w:sz="0" w:space="0" w:color="auto"/>
          </w:divBdr>
        </w:div>
        <w:div w:id="1966231709">
          <w:marLeft w:val="547"/>
          <w:marRight w:val="0"/>
          <w:marTop w:val="115"/>
          <w:marBottom w:val="0"/>
          <w:divBdr>
            <w:top w:val="none" w:sz="0" w:space="0" w:color="auto"/>
            <w:left w:val="none" w:sz="0" w:space="0" w:color="auto"/>
            <w:bottom w:val="none" w:sz="0" w:space="0" w:color="auto"/>
            <w:right w:val="none" w:sz="0" w:space="0" w:color="auto"/>
          </w:divBdr>
        </w:div>
        <w:div w:id="490290487">
          <w:marLeft w:val="1166"/>
          <w:marRight w:val="0"/>
          <w:marTop w:val="115"/>
          <w:marBottom w:val="0"/>
          <w:divBdr>
            <w:top w:val="none" w:sz="0" w:space="0" w:color="auto"/>
            <w:left w:val="none" w:sz="0" w:space="0" w:color="auto"/>
            <w:bottom w:val="none" w:sz="0" w:space="0" w:color="auto"/>
            <w:right w:val="none" w:sz="0" w:space="0" w:color="auto"/>
          </w:divBdr>
        </w:div>
        <w:div w:id="105740157">
          <w:marLeft w:val="1166"/>
          <w:marRight w:val="0"/>
          <w:marTop w:val="115"/>
          <w:marBottom w:val="0"/>
          <w:divBdr>
            <w:top w:val="none" w:sz="0" w:space="0" w:color="auto"/>
            <w:left w:val="none" w:sz="0" w:space="0" w:color="auto"/>
            <w:bottom w:val="none" w:sz="0" w:space="0" w:color="auto"/>
            <w:right w:val="none" w:sz="0" w:space="0" w:color="auto"/>
          </w:divBdr>
        </w:div>
        <w:div w:id="696005909">
          <w:marLeft w:val="1166"/>
          <w:marRight w:val="0"/>
          <w:marTop w:val="115"/>
          <w:marBottom w:val="0"/>
          <w:divBdr>
            <w:top w:val="none" w:sz="0" w:space="0" w:color="auto"/>
            <w:left w:val="none" w:sz="0" w:space="0" w:color="auto"/>
            <w:bottom w:val="none" w:sz="0" w:space="0" w:color="auto"/>
            <w:right w:val="none" w:sz="0" w:space="0" w:color="auto"/>
          </w:divBdr>
        </w:div>
        <w:div w:id="1870100955">
          <w:marLeft w:val="1166"/>
          <w:marRight w:val="0"/>
          <w:marTop w:val="115"/>
          <w:marBottom w:val="0"/>
          <w:divBdr>
            <w:top w:val="none" w:sz="0" w:space="0" w:color="auto"/>
            <w:left w:val="none" w:sz="0" w:space="0" w:color="auto"/>
            <w:bottom w:val="none" w:sz="0" w:space="0" w:color="auto"/>
            <w:right w:val="none" w:sz="0" w:space="0" w:color="auto"/>
          </w:divBdr>
        </w:div>
        <w:div w:id="271128020">
          <w:marLeft w:val="1166"/>
          <w:marRight w:val="0"/>
          <w:marTop w:val="115"/>
          <w:marBottom w:val="0"/>
          <w:divBdr>
            <w:top w:val="none" w:sz="0" w:space="0" w:color="auto"/>
            <w:left w:val="none" w:sz="0" w:space="0" w:color="auto"/>
            <w:bottom w:val="none" w:sz="0" w:space="0" w:color="auto"/>
            <w:right w:val="none" w:sz="0" w:space="0" w:color="auto"/>
          </w:divBdr>
        </w:div>
      </w:divsChild>
    </w:div>
    <w:div w:id="2121947879">
      <w:bodyDiv w:val="1"/>
      <w:marLeft w:val="0"/>
      <w:marRight w:val="0"/>
      <w:marTop w:val="0"/>
      <w:marBottom w:val="0"/>
      <w:divBdr>
        <w:top w:val="none" w:sz="0" w:space="0" w:color="auto"/>
        <w:left w:val="none" w:sz="0" w:space="0" w:color="auto"/>
        <w:bottom w:val="none" w:sz="0" w:space="0" w:color="auto"/>
        <w:right w:val="none" w:sz="0" w:space="0" w:color="auto"/>
      </w:divBdr>
      <w:divsChild>
        <w:div w:id="1557276672">
          <w:marLeft w:val="547"/>
          <w:marRight w:val="0"/>
          <w:marTop w:val="115"/>
          <w:marBottom w:val="0"/>
          <w:divBdr>
            <w:top w:val="none" w:sz="0" w:space="0" w:color="auto"/>
            <w:left w:val="none" w:sz="0" w:space="0" w:color="auto"/>
            <w:bottom w:val="none" w:sz="0" w:space="0" w:color="auto"/>
            <w:right w:val="none" w:sz="0" w:space="0" w:color="auto"/>
          </w:divBdr>
        </w:div>
        <w:div w:id="1481851117">
          <w:marLeft w:val="1166"/>
          <w:marRight w:val="0"/>
          <w:marTop w:val="96"/>
          <w:marBottom w:val="0"/>
          <w:divBdr>
            <w:top w:val="none" w:sz="0" w:space="0" w:color="auto"/>
            <w:left w:val="none" w:sz="0" w:space="0" w:color="auto"/>
            <w:bottom w:val="none" w:sz="0" w:space="0" w:color="auto"/>
            <w:right w:val="none" w:sz="0" w:space="0" w:color="auto"/>
          </w:divBdr>
        </w:div>
        <w:div w:id="2054379516">
          <w:marLeft w:val="1166"/>
          <w:marRight w:val="0"/>
          <w:marTop w:val="96"/>
          <w:marBottom w:val="0"/>
          <w:divBdr>
            <w:top w:val="none" w:sz="0" w:space="0" w:color="auto"/>
            <w:left w:val="none" w:sz="0" w:space="0" w:color="auto"/>
            <w:bottom w:val="none" w:sz="0" w:space="0" w:color="auto"/>
            <w:right w:val="none" w:sz="0" w:space="0" w:color="auto"/>
          </w:divBdr>
        </w:div>
        <w:div w:id="2104182000">
          <w:marLeft w:val="1166"/>
          <w:marRight w:val="0"/>
          <w:marTop w:val="96"/>
          <w:marBottom w:val="0"/>
          <w:divBdr>
            <w:top w:val="none" w:sz="0" w:space="0" w:color="auto"/>
            <w:left w:val="none" w:sz="0" w:space="0" w:color="auto"/>
            <w:bottom w:val="none" w:sz="0" w:space="0" w:color="auto"/>
            <w:right w:val="none" w:sz="0" w:space="0" w:color="auto"/>
          </w:divBdr>
        </w:div>
        <w:div w:id="838693806">
          <w:marLeft w:val="1166"/>
          <w:marRight w:val="0"/>
          <w:marTop w:val="96"/>
          <w:marBottom w:val="0"/>
          <w:divBdr>
            <w:top w:val="none" w:sz="0" w:space="0" w:color="auto"/>
            <w:left w:val="none" w:sz="0" w:space="0" w:color="auto"/>
            <w:bottom w:val="none" w:sz="0" w:space="0" w:color="auto"/>
            <w:right w:val="none" w:sz="0" w:space="0" w:color="auto"/>
          </w:divBdr>
        </w:div>
        <w:div w:id="623540757">
          <w:marLeft w:val="547"/>
          <w:marRight w:val="0"/>
          <w:marTop w:val="115"/>
          <w:marBottom w:val="0"/>
          <w:divBdr>
            <w:top w:val="none" w:sz="0" w:space="0" w:color="auto"/>
            <w:left w:val="none" w:sz="0" w:space="0" w:color="auto"/>
            <w:bottom w:val="none" w:sz="0" w:space="0" w:color="auto"/>
            <w:right w:val="none" w:sz="0" w:space="0" w:color="auto"/>
          </w:divBdr>
        </w:div>
        <w:div w:id="131799879">
          <w:marLeft w:val="1166"/>
          <w:marRight w:val="0"/>
          <w:marTop w:val="115"/>
          <w:marBottom w:val="0"/>
          <w:divBdr>
            <w:top w:val="none" w:sz="0" w:space="0" w:color="auto"/>
            <w:left w:val="none" w:sz="0" w:space="0" w:color="auto"/>
            <w:bottom w:val="none" w:sz="0" w:space="0" w:color="auto"/>
            <w:right w:val="none" w:sz="0" w:space="0" w:color="auto"/>
          </w:divBdr>
        </w:div>
        <w:div w:id="621111079">
          <w:marLeft w:val="1166"/>
          <w:marRight w:val="0"/>
          <w:marTop w:val="115"/>
          <w:marBottom w:val="0"/>
          <w:divBdr>
            <w:top w:val="none" w:sz="0" w:space="0" w:color="auto"/>
            <w:left w:val="none" w:sz="0" w:space="0" w:color="auto"/>
            <w:bottom w:val="none" w:sz="0" w:space="0" w:color="auto"/>
            <w:right w:val="none" w:sz="0" w:space="0" w:color="auto"/>
          </w:divBdr>
        </w:div>
        <w:div w:id="930091044">
          <w:marLeft w:val="1166"/>
          <w:marRight w:val="0"/>
          <w:marTop w:val="115"/>
          <w:marBottom w:val="0"/>
          <w:divBdr>
            <w:top w:val="none" w:sz="0" w:space="0" w:color="auto"/>
            <w:left w:val="none" w:sz="0" w:space="0" w:color="auto"/>
            <w:bottom w:val="none" w:sz="0" w:space="0" w:color="auto"/>
            <w:right w:val="none" w:sz="0" w:space="0" w:color="auto"/>
          </w:divBdr>
        </w:div>
        <w:div w:id="493569567">
          <w:marLeft w:val="1166"/>
          <w:marRight w:val="0"/>
          <w:marTop w:val="115"/>
          <w:marBottom w:val="0"/>
          <w:divBdr>
            <w:top w:val="none" w:sz="0" w:space="0" w:color="auto"/>
            <w:left w:val="none" w:sz="0" w:space="0" w:color="auto"/>
            <w:bottom w:val="none" w:sz="0" w:space="0" w:color="auto"/>
            <w:right w:val="none" w:sz="0" w:space="0" w:color="auto"/>
          </w:divBdr>
        </w:div>
        <w:div w:id="1044600077">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0cce5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16</cp:revision>
  <dcterms:created xsi:type="dcterms:W3CDTF">2020-09-27T19:05:00Z</dcterms:created>
  <dcterms:modified xsi:type="dcterms:W3CDTF">2020-10-14T14:40:00Z</dcterms:modified>
</cp:coreProperties>
</file>