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DD02D" w14:textId="73436CC3" w:rsidR="00D82C18" w:rsidRPr="00B3608C" w:rsidRDefault="00B3608C" w:rsidP="000F7896">
      <w:pPr>
        <w:rPr>
          <w:rFonts w:ascii="Verdana" w:hAnsi="Verdana"/>
        </w:rPr>
      </w:pPr>
      <w:r>
        <w:rPr>
          <w:sz w:val="28"/>
          <w:rFonts w:ascii="Verdana" w:hAnsi="Verdana"/>
        </w:rPr>
        <w:t xml:space="preserve">Mësimi 2.3 (Dispozitat Materiale të Konventës së Budapestit</w:t>
      </w:r>
      <w:r>
        <w:rPr>
          <w:sz w:val="28"/>
          <w:color w:val="000000" w:themeColor="text1"/>
          <w:rFonts w:ascii="Verdana" w:hAnsi="Verdana"/>
        </w:rPr>
        <w:t xml:space="preserve"> - Pjesa 2)</w:t>
      </w:r>
    </w:p>
    <w:p w14:paraId="1D0E3DC5" w14:textId="77777777" w:rsidR="00C115FC" w:rsidRPr="00C115FC" w:rsidRDefault="00C115FC" w:rsidP="00C115FC">
      <w:pPr>
        <w:ind w:left="360"/>
        <w:rPr>
          <w:rFonts w:ascii="Verdana" w:hAnsi="Verdana"/>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D82C18" w14:paraId="58A3485E" w14:textId="77777777" w:rsidTr="00F1574D">
        <w:trPr>
          <w:trHeight w:val="872"/>
        </w:trPr>
        <w:tc>
          <w:tcPr>
            <w:tcW w:w="6845" w:type="dxa"/>
            <w:gridSpan w:val="2"/>
            <w:shd w:val="clear" w:color="auto" w:fill="DEEAF6" w:themeFill="accent5" w:themeFillTint="33"/>
            <w:vAlign w:val="center"/>
          </w:tcPr>
          <w:p w14:paraId="0067FF35" w14:textId="21536407" w:rsidR="00D82C18" w:rsidRPr="00D82C18" w:rsidRDefault="00C115FC" w:rsidP="00C115FC">
            <w:pPr>
              <w:rPr>
                <w:sz w:val="22"/>
                <w:szCs w:val="22"/>
                <w:rFonts w:ascii="Verdana" w:hAnsi="Verdana"/>
              </w:rPr>
            </w:pPr>
            <w:r>
              <w:rPr>
                <w:sz w:val="22"/>
                <w:rFonts w:ascii="Verdana" w:hAnsi="Verdana"/>
              </w:rPr>
              <w:t xml:space="preserve">Mësimi 2.3 Dispozitat Materiale të Konventës së Budapestit - Pjesa</w:t>
            </w:r>
            <w:r>
              <w:rPr>
                <w:sz w:val="22"/>
                <w:color w:val="000000" w:themeColor="text1"/>
                <w:rFonts w:ascii="Verdana" w:hAnsi="Verdana"/>
              </w:rPr>
              <w:t xml:space="preserve"> 2</w:t>
            </w:r>
          </w:p>
        </w:tc>
        <w:tc>
          <w:tcPr>
            <w:tcW w:w="2165" w:type="dxa"/>
            <w:shd w:val="clear" w:color="auto" w:fill="DEEAF6" w:themeFill="accent5" w:themeFillTint="33"/>
            <w:vAlign w:val="center"/>
          </w:tcPr>
          <w:p w14:paraId="30B631DA" w14:textId="24980FBA" w:rsidR="00D82C18" w:rsidRPr="00D82C18" w:rsidRDefault="00D82C18" w:rsidP="00C115FC">
            <w:pPr>
              <w:rPr>
                <w:sz w:val="22"/>
                <w:szCs w:val="22"/>
                <w:rFonts w:ascii="Verdana" w:hAnsi="Verdana"/>
              </w:rPr>
            </w:pPr>
            <w:r>
              <w:rPr>
                <w:sz w:val="22"/>
                <w:rFonts w:ascii="Verdana" w:hAnsi="Verdana"/>
              </w:rPr>
              <w:t xml:space="preserve">Kohëzgjatja:</w:t>
            </w:r>
            <w:r>
              <w:rPr>
                <w:sz w:val="22"/>
                <w:rFonts w:ascii="Verdana" w:hAnsi="Verdana"/>
              </w:rPr>
              <w:t xml:space="preserve"> </w:t>
            </w:r>
            <w:r>
              <w:rPr>
                <w:sz w:val="22"/>
                <w:color w:val="000000" w:themeColor="text1"/>
                <w:rFonts w:ascii="Verdana" w:hAnsi="Verdana"/>
              </w:rPr>
              <w:t xml:space="preserve">90 minuta</w:t>
            </w:r>
            <w:r>
              <w:rPr>
                <w:sz w:val="22"/>
                <w:color w:val="000000" w:themeColor="text1"/>
                <w:rFonts w:ascii="Verdana" w:hAnsi="Verdana"/>
              </w:rPr>
              <w:t xml:space="preserve"> </w:t>
            </w:r>
          </w:p>
        </w:tc>
      </w:tr>
      <w:tr w:rsidR="00E7344B" w:rsidRPr="00D82C18" w14:paraId="7C1107AB" w14:textId="77777777" w:rsidTr="00A439ED">
        <w:trPr>
          <w:trHeight w:val="1727"/>
        </w:trPr>
        <w:tc>
          <w:tcPr>
            <w:tcW w:w="9010" w:type="dxa"/>
            <w:gridSpan w:val="3"/>
            <w:vAlign w:val="center"/>
          </w:tcPr>
          <w:p w14:paraId="0B1C3404" w14:textId="53612A3F" w:rsidR="00E7344B" w:rsidRPr="000F7896" w:rsidRDefault="00E7344B" w:rsidP="000F7896">
            <w:pPr>
              <w:spacing w:after="120" w:line="280" w:lineRule="exact"/>
              <w:rPr>
                <w:b/>
                <w:sz w:val="22"/>
                <w:szCs w:val="22"/>
                <w:rFonts w:ascii="Verdana" w:hAnsi="Verdana"/>
              </w:rPr>
            </w:pPr>
            <w:r>
              <w:rPr>
                <w:b/>
                <w:sz w:val="22"/>
                <w:rFonts w:ascii="Verdana" w:hAnsi="Verdana"/>
              </w:rPr>
              <w:t xml:space="preserve">Burimet e nevojshme:</w:t>
            </w:r>
            <w:r>
              <w:rPr>
                <w:b/>
                <w:sz w:val="22"/>
                <w:rFonts w:ascii="Verdana" w:hAnsi="Verdana"/>
              </w:rPr>
              <w:t xml:space="preserve"> </w:t>
            </w:r>
          </w:p>
          <w:p w14:paraId="060400D8" w14:textId="77777777" w:rsidR="000F7896" w:rsidRPr="000F7896" w:rsidRDefault="000F7896" w:rsidP="000F7896">
            <w:pPr>
              <w:pStyle w:val="bul1"/>
              <w:numPr>
                <w:ilvl w:val="0"/>
                <w:numId w:val="6"/>
              </w:numPr>
              <w:spacing w:line="280" w:lineRule="exact"/>
              <w:rPr>
                <w:rFonts w:ascii="Symbol" w:hAnsi="Symbol"/>
              </w:rPr>
            </w:pPr>
            <w:r>
              <w:t xml:space="preserve">PC/Laptop ngarkuar me versione softuerësh të pajtueshëm me materialet e përgatitura</w:t>
            </w:r>
            <w:r>
              <w:t xml:space="preserve"> </w:t>
            </w:r>
          </w:p>
          <w:p w14:paraId="62A10C2C" w14:textId="77777777" w:rsidR="000F7896" w:rsidRPr="000F7896" w:rsidRDefault="000F7896" w:rsidP="000F7896">
            <w:pPr>
              <w:pStyle w:val="bul1"/>
              <w:numPr>
                <w:ilvl w:val="0"/>
                <w:numId w:val="6"/>
              </w:numPr>
              <w:spacing w:line="280" w:lineRule="exact"/>
              <w:rPr>
                <w:rFonts w:ascii="Symbol" w:hAnsi="Symbol"/>
              </w:rPr>
            </w:pPr>
            <w:r>
              <w:t xml:space="preserve">Qasje në internet (nëse ka)</w:t>
            </w:r>
            <w:r>
              <w:t xml:space="preserve"> </w:t>
            </w:r>
          </w:p>
          <w:p w14:paraId="575CEC8B" w14:textId="7FC1824F" w:rsidR="000F7896" w:rsidRPr="00AC1380" w:rsidRDefault="000F7896" w:rsidP="000F7896">
            <w:pPr>
              <w:pStyle w:val="bul1"/>
              <w:numPr>
                <w:ilvl w:val="0"/>
                <w:numId w:val="6"/>
              </w:numPr>
              <w:spacing w:line="280" w:lineRule="exact"/>
              <w:rPr>
                <w:rFonts w:ascii="Symbol" w:hAnsi="Symbol"/>
              </w:rPr>
            </w:pPr>
            <w:r>
              <w:t xml:space="preserve">PowerPoint apo prezantime tjera</w:t>
            </w:r>
            <w:r>
              <w:t xml:space="preserve"> </w:t>
            </w:r>
          </w:p>
          <w:p w14:paraId="14CF9EF0" w14:textId="1ED885BC" w:rsidR="000F7896" w:rsidRPr="00A439ED" w:rsidRDefault="000F7896" w:rsidP="00A439ED">
            <w:pPr>
              <w:pStyle w:val="bul1"/>
              <w:numPr>
                <w:ilvl w:val="0"/>
                <w:numId w:val="6"/>
              </w:numPr>
              <w:spacing w:line="280" w:lineRule="exact"/>
              <w:rPr>
                <w:rFonts w:ascii="Symbol" w:hAnsi="Symbol"/>
              </w:rPr>
            </w:pPr>
            <w:r>
              <w:t xml:space="preserve">Kopje e Konventës së Budapestit</w:t>
            </w:r>
          </w:p>
        </w:tc>
      </w:tr>
      <w:tr w:rsidR="00E7344B" w:rsidRPr="00D82C18" w14:paraId="635F2EFD" w14:textId="77777777" w:rsidTr="00F1574D">
        <w:trPr>
          <w:trHeight w:val="2879"/>
        </w:trPr>
        <w:tc>
          <w:tcPr>
            <w:tcW w:w="9010" w:type="dxa"/>
            <w:gridSpan w:val="3"/>
            <w:vAlign w:val="center"/>
          </w:tcPr>
          <w:p w14:paraId="34602AF3" w14:textId="77777777" w:rsidR="00A03CF0" w:rsidRDefault="00A03CF0" w:rsidP="00F62A15">
            <w:pPr>
              <w:spacing w:before="120" w:after="120" w:line="280" w:lineRule="exact"/>
              <w:rPr>
                <w:b/>
                <w:sz w:val="22"/>
                <w:szCs w:val="22"/>
                <w:rFonts w:ascii="Verdana" w:hAnsi="Verdana"/>
              </w:rPr>
            </w:pPr>
            <w:r>
              <w:rPr>
                <w:b/>
                <w:sz w:val="22"/>
                <w:rFonts w:ascii="Verdana" w:hAnsi="Verdana"/>
              </w:rPr>
              <w:t xml:space="preserve">Qëllimi i seancës:</w:t>
            </w:r>
            <w:r>
              <w:rPr>
                <w:b/>
                <w:sz w:val="22"/>
                <w:rFonts w:ascii="Verdana" w:hAnsi="Verdana"/>
              </w:rPr>
              <w:t xml:space="preserve">  </w:t>
            </w:r>
          </w:p>
          <w:p w14:paraId="3FE58655" w14:textId="62674A84" w:rsidR="00A03CF0" w:rsidRPr="000F7896" w:rsidRDefault="000C47A2" w:rsidP="00FA5D5D">
            <w:pPr>
              <w:spacing w:before="120" w:after="120" w:line="280" w:lineRule="exact"/>
              <w:jc w:val="both"/>
              <w:rPr>
                <w:i/>
                <w:color w:val="FF0000"/>
                <w:sz w:val="18"/>
                <w:szCs w:val="18"/>
                <w:rFonts w:ascii="Verdana" w:hAnsi="Verdana"/>
              </w:rPr>
            </w:pPr>
            <w:r>
              <w:rPr>
                <w:sz w:val="18"/>
                <w:rFonts w:ascii="Verdana" w:hAnsi="Verdana"/>
              </w:rPr>
              <w:t xml:space="preserve">Qëllimi i kësaj seance është t'u ofrojë pjesëmarrësve një kuptim gjithëpërfshirës të elementeve të veprave të lidhura me kompjuterë, veprave të lidhura me përmbajtjen dhe veprave në lidhje me shkeljen e të drejtës së autorit dhe të drejtave të përafërta, të vendosura në përputhje me Konventën e Budapestit.</w:t>
            </w:r>
            <w:r>
              <w:rPr>
                <w:sz w:val="18"/>
                <w:rFonts w:ascii="Verdana" w:hAnsi="Verdana"/>
              </w:rPr>
              <w:t xml:space="preserve"> </w:t>
            </w:r>
            <w:r>
              <w:rPr>
                <w:sz w:val="18"/>
                <w:rFonts w:ascii="Verdana" w:hAnsi="Verdana"/>
              </w:rPr>
              <w:t xml:space="preserve">Seanca përfshin, në detaje, secilin element të nenit 7 (falsifikim i lidhur me kompjuterë), nenit 8 (mashtrim i lidhur me kompjuterë), nenit 9 (pornografi me fëmijë), nenit 10 (vepra kundër shkeljes së të drejtës së autorit dhe të drejtave të përafërta), nenit 11 (përpjekje dhe ndihmë ose mbështetje) dhe nenit 12 (përgjegjësia e korporatës) të Konventës së Budapestit.</w:t>
            </w:r>
          </w:p>
        </w:tc>
      </w:tr>
      <w:tr w:rsidR="00A03CF0" w:rsidRPr="00D82C18" w14:paraId="1B5A80A7" w14:textId="77777777" w:rsidTr="001E7389">
        <w:trPr>
          <w:trHeight w:val="983"/>
        </w:trPr>
        <w:tc>
          <w:tcPr>
            <w:tcW w:w="9010" w:type="dxa"/>
            <w:gridSpan w:val="3"/>
            <w:vAlign w:val="center"/>
          </w:tcPr>
          <w:p w14:paraId="559A7E05" w14:textId="77777777" w:rsidR="00A03CF0" w:rsidRPr="00271010" w:rsidRDefault="00271010" w:rsidP="00F62A15">
            <w:pPr>
              <w:spacing w:before="120" w:after="120" w:line="280" w:lineRule="exact"/>
              <w:contextualSpacing/>
              <w:rPr>
                <w:b/>
                <w:sz w:val="22"/>
                <w:szCs w:val="22"/>
                <w:rFonts w:ascii="Verdana" w:hAnsi="Verdana"/>
              </w:rPr>
            </w:pPr>
            <w:r>
              <w:rPr>
                <w:b/>
                <w:sz w:val="22"/>
                <w:rFonts w:ascii="Verdana" w:hAnsi="Verdana"/>
              </w:rPr>
              <w:t xml:space="preserve">Objektivat:</w:t>
            </w:r>
          </w:p>
          <w:p w14:paraId="7552C5F6" w14:textId="77777777" w:rsidR="000F7896" w:rsidRPr="00AC1380" w:rsidRDefault="000F7896" w:rsidP="000F7896">
            <w:pPr>
              <w:tabs>
                <w:tab w:val="left" w:pos="426"/>
                <w:tab w:val="left" w:pos="851"/>
              </w:tabs>
              <w:rPr>
                <w:sz w:val="18"/>
                <w:szCs w:val="18"/>
                <w:rFonts w:ascii="Verdana" w:eastAsia="Times New Roman" w:hAnsi="Verdana" w:cs="Times New Roman"/>
              </w:rPr>
            </w:pPr>
            <w:r>
              <w:rPr>
                <w:sz w:val="18"/>
                <w:rFonts w:ascii="Verdana" w:hAnsi="Verdana"/>
              </w:rPr>
              <w:t xml:space="preserve">Deri në fund të kësaj seance pjesëmarrësit do të jenë në gjendje të:</w:t>
            </w:r>
          </w:p>
          <w:p w14:paraId="5466890D" w14:textId="77777777" w:rsidR="000C47A2" w:rsidRPr="000C47A2" w:rsidRDefault="000C47A2" w:rsidP="000C47A2">
            <w:pPr>
              <w:pStyle w:val="bul1"/>
              <w:numPr>
                <w:ilvl w:val="0"/>
                <w:numId w:val="11"/>
              </w:numPr>
            </w:pPr>
            <w:r>
              <w:t xml:space="preserve">Deri në fund të kësaj seance, pjesëmarrësit do të jenë në gjendje:</w:t>
            </w:r>
          </w:p>
          <w:p w14:paraId="7CA49B60" w14:textId="77777777" w:rsidR="000C47A2" w:rsidRPr="000C47A2" w:rsidRDefault="000C47A2" w:rsidP="000C47A2">
            <w:pPr>
              <w:pStyle w:val="bul1"/>
              <w:numPr>
                <w:ilvl w:val="0"/>
                <w:numId w:val="11"/>
              </w:numPr>
            </w:pPr>
            <w:r>
              <w:t xml:space="preserve">Identifikojnë elementet që përbëjnë vepër penale të:</w:t>
            </w:r>
          </w:p>
          <w:p w14:paraId="06545F7F" w14:textId="77777777" w:rsidR="000C47A2" w:rsidRPr="000C47A2" w:rsidRDefault="000C47A2" w:rsidP="000C47A2">
            <w:pPr>
              <w:pStyle w:val="bul1"/>
              <w:numPr>
                <w:ilvl w:val="0"/>
                <w:numId w:val="13"/>
              </w:numPr>
            </w:pPr>
            <w:r>
              <w:t xml:space="preserve">Falsifikimeve të lidhura me kompjuterë</w:t>
            </w:r>
          </w:p>
          <w:p w14:paraId="226E9997" w14:textId="77777777" w:rsidR="000C47A2" w:rsidRPr="000C47A2" w:rsidRDefault="000C47A2" w:rsidP="000C47A2">
            <w:pPr>
              <w:pStyle w:val="bul1"/>
              <w:numPr>
                <w:ilvl w:val="0"/>
                <w:numId w:val="13"/>
              </w:numPr>
            </w:pPr>
            <w:r>
              <w:t xml:space="preserve">Falsifikimeve të lidhura me kompjuterë</w:t>
            </w:r>
          </w:p>
          <w:p w14:paraId="5F46D63A" w14:textId="77777777" w:rsidR="000C47A2" w:rsidRPr="000C47A2" w:rsidRDefault="000C47A2" w:rsidP="000C47A2">
            <w:pPr>
              <w:pStyle w:val="bul1"/>
              <w:numPr>
                <w:ilvl w:val="0"/>
                <w:numId w:val="13"/>
              </w:numPr>
            </w:pPr>
            <w:r>
              <w:t xml:space="preserve">Pornografisë me fëmijë</w:t>
            </w:r>
            <w:r>
              <w:t xml:space="preserve"> </w:t>
            </w:r>
          </w:p>
          <w:p w14:paraId="65D4B47D" w14:textId="7E27FDF7" w:rsidR="000C47A2" w:rsidRPr="000C47A2" w:rsidRDefault="000C47A2" w:rsidP="000C47A2">
            <w:pPr>
              <w:pStyle w:val="bul1"/>
              <w:numPr>
                <w:ilvl w:val="0"/>
                <w:numId w:val="13"/>
              </w:numPr>
            </w:pPr>
            <w:r>
              <w:t xml:space="preserve">Shkeljet e të drejtës së autorit dhe të drejtave të përafërta</w:t>
            </w:r>
          </w:p>
          <w:p w14:paraId="61ABEAC5" w14:textId="6953A009" w:rsidR="001E7389" w:rsidRPr="000C47A2" w:rsidRDefault="000C47A2" w:rsidP="000C47A2">
            <w:pPr>
              <w:pStyle w:val="bul1"/>
              <w:numPr>
                <w:ilvl w:val="0"/>
                <w:numId w:val="11"/>
              </w:numPr>
            </w:pPr>
            <w:r>
              <w:t xml:space="preserve">Kuptimi se si Konventa e Budapestit kriminalizon veprat e ndihmës, mbështetjes dhe përpjekjen, dhe fushën e përgjegjësisë së korporatave</w:t>
            </w:r>
          </w:p>
        </w:tc>
      </w:tr>
      <w:tr w:rsidR="005703B7" w:rsidRPr="00D82C18" w14:paraId="03110757" w14:textId="77777777" w:rsidTr="00832F68">
        <w:trPr>
          <w:trHeight w:val="3523"/>
        </w:trPr>
        <w:tc>
          <w:tcPr>
            <w:tcW w:w="9010" w:type="dxa"/>
            <w:gridSpan w:val="3"/>
            <w:tcBorders>
              <w:bottom w:val="single" w:sz="4" w:space="0" w:color="auto"/>
            </w:tcBorders>
            <w:vAlign w:val="center"/>
          </w:tcPr>
          <w:p w14:paraId="7A064E85" w14:textId="77777777" w:rsidR="005703B7" w:rsidRPr="002F3B54" w:rsidRDefault="00E95703" w:rsidP="00F62A15">
            <w:pPr>
              <w:spacing w:before="120" w:after="120" w:line="280" w:lineRule="exact"/>
              <w:rPr>
                <w:b/>
                <w:color w:val="000000" w:themeColor="text1"/>
                <w:sz w:val="22"/>
                <w:szCs w:val="22"/>
                <w:rFonts w:ascii="Verdana" w:hAnsi="Verdana"/>
              </w:rPr>
            </w:pPr>
            <w:r>
              <w:rPr>
                <w:b/>
                <w:color w:val="000000" w:themeColor="text1"/>
                <w:sz w:val="22"/>
                <w:rFonts w:ascii="Verdana" w:hAnsi="Verdana"/>
              </w:rPr>
              <w:t xml:space="preserve">Udhëzimi për trajnerë</w:t>
            </w:r>
          </w:p>
          <w:p w14:paraId="472F31D8" w14:textId="349FF9BA" w:rsidR="000C47A2" w:rsidRDefault="000C47A2" w:rsidP="000C47A2">
            <w:pPr>
              <w:spacing w:before="120" w:after="120" w:line="280" w:lineRule="exact"/>
              <w:jc w:val="both"/>
              <w:rPr>
                <w:sz w:val="18"/>
                <w:szCs w:val="18"/>
                <w:rFonts w:ascii="Verdana" w:hAnsi="Verdana"/>
              </w:rPr>
            </w:pPr>
            <w:r>
              <w:rPr>
                <w:sz w:val="18"/>
                <w:rFonts w:ascii="Verdana" w:hAnsi="Verdana"/>
              </w:rPr>
              <w:t xml:space="preserve">Kjo seancë është përgatitur për t'u ofruar pjesëmarrësve një kuptim gjithëpërfshirës të dispozitave të ligjit material të përshkruara në Kapitullin II Seksioni 2 Titulli 2 (vepra të lidhura me kompjuterë), Titulli 3 (veprat e lidhura me përmbajtjen), Titulli 4 (veprat që lidhen me shkeljet e të drejtës së autorit dhe të drejtat e përafërta) dhe Titulli 5 (përgjegjësia për ndihmë dhe sanksionet).</w:t>
            </w:r>
            <w:r>
              <w:rPr>
                <w:sz w:val="18"/>
                <w:rFonts w:ascii="Verdana" w:hAnsi="Verdana"/>
              </w:rPr>
              <w:t xml:space="preserve"> </w:t>
            </w:r>
            <w:r>
              <w:rPr>
                <w:sz w:val="18"/>
                <w:rFonts w:ascii="Verdana" w:hAnsi="Verdana"/>
              </w:rPr>
              <w:t xml:space="preserve">Kjo seancë është e ndarë në pesë pjesë, përveç një hyrjeje dhe një përfundimi.</w:t>
            </w:r>
            <w:r>
              <w:rPr>
                <w:sz w:val="18"/>
                <w:rFonts w:ascii="Verdana" w:hAnsi="Verdana"/>
              </w:rPr>
              <w:t xml:space="preserve"> </w:t>
            </w:r>
            <w:r>
              <w:rPr>
                <w:sz w:val="18"/>
                <w:rFonts w:ascii="Verdana" w:hAnsi="Verdana"/>
              </w:rPr>
              <w:t xml:space="preserve">Pjesa e parë mbulon veprën e falsifikimeve të lidhura me kompjuterë.</w:t>
            </w:r>
            <w:r>
              <w:rPr>
                <w:sz w:val="18"/>
                <w:rFonts w:ascii="Verdana" w:hAnsi="Verdana"/>
              </w:rPr>
              <w:t xml:space="preserve"> </w:t>
            </w:r>
            <w:r>
              <w:rPr>
                <w:sz w:val="18"/>
                <w:rFonts w:ascii="Verdana" w:hAnsi="Verdana"/>
              </w:rPr>
              <w:t xml:space="preserve">Pjesa e dytë përfshin veprën e mashtrimeve të lidhura me kompjuterë.</w:t>
            </w:r>
            <w:r>
              <w:rPr>
                <w:sz w:val="18"/>
                <w:rFonts w:ascii="Verdana" w:hAnsi="Verdana"/>
              </w:rPr>
              <w:t xml:space="preserve"> </w:t>
            </w:r>
            <w:r>
              <w:rPr>
                <w:sz w:val="18"/>
                <w:rFonts w:ascii="Verdana" w:hAnsi="Verdana"/>
              </w:rPr>
              <w:t xml:space="preserve">Pjesa e tretë mbulon veprën e pornografisë me fëmijë.</w:t>
            </w:r>
            <w:r>
              <w:rPr>
                <w:sz w:val="18"/>
                <w:rFonts w:ascii="Verdana" w:hAnsi="Verdana"/>
              </w:rPr>
              <w:t xml:space="preserve"> </w:t>
            </w:r>
            <w:r>
              <w:rPr>
                <w:sz w:val="18"/>
                <w:rFonts w:ascii="Verdana" w:hAnsi="Verdana"/>
              </w:rPr>
              <w:t xml:space="preserve">Pjesa e katërt mbulon veprën e shkeljes së të drejtës së autorit dhe të drejtave të përafërta.</w:t>
            </w:r>
            <w:r>
              <w:rPr>
                <w:sz w:val="18"/>
                <w:rFonts w:ascii="Verdana" w:hAnsi="Verdana"/>
              </w:rPr>
              <w:t xml:space="preserve"> </w:t>
            </w:r>
            <w:r>
              <w:rPr>
                <w:sz w:val="18"/>
                <w:rFonts w:ascii="Verdana" w:hAnsi="Verdana"/>
              </w:rPr>
              <w:t xml:space="preserve">Pjesa e pestë përfshin përpjekjen, ndihmën dhe mbështetjen, si dhe përgjegjësinë e korporatës.</w:t>
            </w:r>
            <w:r>
              <w:rPr>
                <w:sz w:val="18"/>
                <w:rFonts w:ascii="Verdana" w:hAnsi="Verdana"/>
              </w:rPr>
              <w:t xml:space="preserve"> </w:t>
            </w:r>
          </w:p>
          <w:p w14:paraId="0BCB0073" w14:textId="77777777" w:rsidR="00FF2976" w:rsidRDefault="000C47A2" w:rsidP="00AC1380">
            <w:pPr>
              <w:spacing w:before="120" w:after="120" w:line="280" w:lineRule="exact"/>
              <w:jc w:val="both"/>
              <w:rPr>
                <w:sz w:val="18"/>
                <w:szCs w:val="18"/>
                <w:rFonts w:ascii="Verdana" w:hAnsi="Verdana"/>
              </w:rPr>
            </w:pPr>
            <w:r>
              <w:rPr>
                <w:sz w:val="18"/>
                <w:rFonts w:ascii="Verdana" w:hAnsi="Verdana"/>
              </w:rPr>
              <w:t xml:space="preserve">Para prezantimit të kësaj seance, rekomandohet që trajneri të rishikojë paragrafët 79 - 127 të këtij ligji </w:t>
            </w:r>
            <w:hyperlink r:id="rId5" w:history="1">
              <w:r>
                <w:rPr>
                  <w:rStyle w:val="Hyperlink"/>
                  <w:sz w:val="18"/>
                  <w:rFonts w:ascii="Verdana" w:hAnsi="Verdana"/>
                </w:rPr>
                <w:t xml:space="preserve">Raport shpjegues për Konventën për krimin kibernetik</w:t>
              </w:r>
            </w:hyperlink>
            <w:r>
              <w:rPr>
                <w:sz w:val="18"/>
                <w:rFonts w:ascii="Verdana" w:hAnsi="Verdana"/>
              </w:rPr>
              <w:t xml:space="preserve">.</w:t>
            </w:r>
          </w:p>
          <w:p w14:paraId="5EFF4BEF" w14:textId="18F76DFA" w:rsidR="0023745E" w:rsidRPr="00832F68" w:rsidRDefault="0023745E" w:rsidP="00AC1380">
            <w:pPr>
              <w:spacing w:before="120" w:after="120" w:line="280" w:lineRule="exact"/>
              <w:jc w:val="both"/>
              <w:rPr>
                <w:color w:val="000000" w:themeColor="text1"/>
                <w:sz w:val="18"/>
                <w:szCs w:val="18"/>
                <w:rFonts w:ascii="Verdana" w:hAnsi="Verdana"/>
              </w:rPr>
            </w:pPr>
            <w:r>
              <w:rPr>
                <w:sz w:val="18"/>
                <w:rFonts w:ascii="Verdana" w:hAnsi="Verdana"/>
              </w:rPr>
              <w:t xml:space="preserve">Trajneri mund të dëshirojë të inkurajojë një diskutim rreth mënyrës se si secila prej dispozitave të përfshira në këtë seancë është krijuar në bazë të ligjit vendor.</w:t>
            </w:r>
          </w:p>
        </w:tc>
      </w:tr>
      <w:tr w:rsidR="005A4E47" w:rsidRPr="00D82C18"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b/>
                <w:sz w:val="28"/>
                <w:szCs w:val="28"/>
                <w:rFonts w:ascii="Verdana" w:hAnsi="Verdana"/>
              </w:rPr>
            </w:pPr>
            <w:r>
              <w:rPr>
                <w:b/>
                <w:sz w:val="28"/>
                <w:rFonts w:ascii="Verdana" w:hAnsi="Verdana"/>
              </w:rPr>
              <w:t xml:space="preserve">Përmbajtja e Mësimit</w:t>
            </w:r>
          </w:p>
        </w:tc>
      </w:tr>
      <w:tr w:rsidR="00F1574D" w:rsidRPr="00D82C18" w14:paraId="57CC7AA4" w14:textId="77777777" w:rsidTr="00F1574D">
        <w:trPr>
          <w:trHeight w:val="629"/>
        </w:trPr>
        <w:tc>
          <w:tcPr>
            <w:tcW w:w="1525" w:type="dxa"/>
            <w:shd w:val="clear" w:color="auto" w:fill="D9E2F3" w:themeFill="accent1" w:themeFillTint="33"/>
            <w:vAlign w:val="center"/>
          </w:tcPr>
          <w:p w14:paraId="4538C338" w14:textId="77777777" w:rsidR="00D82C18" w:rsidRPr="00E13BE7" w:rsidRDefault="00E13BE7" w:rsidP="00CB3026">
            <w:pPr>
              <w:jc w:val="center"/>
              <w:rPr>
                <w:b/>
                <w:sz w:val="22"/>
                <w:szCs w:val="22"/>
                <w:rFonts w:ascii="Verdana" w:hAnsi="Verdana"/>
              </w:rPr>
            </w:pPr>
            <w:r>
              <w:rPr>
                <w:b/>
                <w:sz w:val="22"/>
                <w:rFonts w:ascii="Verdana" w:hAnsi="Verdana"/>
              </w:rPr>
              <w:t xml:space="preserve">Numrat e slajdeve</w:t>
            </w:r>
          </w:p>
        </w:tc>
        <w:tc>
          <w:tcPr>
            <w:tcW w:w="7485" w:type="dxa"/>
            <w:gridSpan w:val="2"/>
            <w:shd w:val="clear" w:color="auto" w:fill="D9E2F3" w:themeFill="accent1" w:themeFillTint="33"/>
            <w:vAlign w:val="center"/>
          </w:tcPr>
          <w:p w14:paraId="2DA616FC" w14:textId="77777777" w:rsidR="00D82C18" w:rsidRPr="00E13BE7" w:rsidRDefault="00E13BE7">
            <w:pPr>
              <w:rPr>
                <w:b/>
                <w:sz w:val="22"/>
                <w:szCs w:val="22"/>
                <w:rFonts w:ascii="Verdana" w:hAnsi="Verdana"/>
              </w:rPr>
            </w:pPr>
            <w:r>
              <w:rPr>
                <w:b/>
                <w:sz w:val="22"/>
                <w:rFonts w:ascii="Verdana" w:hAnsi="Verdana"/>
              </w:rPr>
              <w:t xml:space="preserve">Përmbajtja</w:t>
            </w:r>
          </w:p>
        </w:tc>
      </w:tr>
      <w:tr w:rsidR="00F1574D" w:rsidRPr="00D82C18" w14:paraId="11A12D7E" w14:textId="77777777" w:rsidTr="000F04E4">
        <w:trPr>
          <w:trHeight w:val="591"/>
        </w:trPr>
        <w:tc>
          <w:tcPr>
            <w:tcW w:w="1525" w:type="dxa"/>
            <w:vAlign w:val="center"/>
          </w:tcPr>
          <w:p w14:paraId="67083237" w14:textId="207A1282" w:rsidR="00D82C18" w:rsidRDefault="003630ED" w:rsidP="00F1574D">
            <w:pPr>
              <w:spacing w:before="120" w:after="120" w:line="280" w:lineRule="exact"/>
              <w:jc w:val="center"/>
              <w:rPr>
                <w:sz w:val="18"/>
                <w:szCs w:val="18"/>
                <w:rFonts w:ascii="Verdana" w:hAnsi="Verdana"/>
              </w:rPr>
            </w:pPr>
            <w:r>
              <w:rPr>
                <w:sz w:val="18"/>
                <w:rFonts w:ascii="Verdana" w:hAnsi="Verdana"/>
              </w:rPr>
              <w:t xml:space="preserve">1 deri 4</w:t>
            </w:r>
          </w:p>
          <w:p w14:paraId="5A89CF27" w14:textId="6863FBB0" w:rsidR="00F1574D" w:rsidRPr="00F62A15" w:rsidRDefault="00F1574D" w:rsidP="00F1574D">
            <w:pPr>
              <w:spacing w:before="120" w:after="120" w:line="280" w:lineRule="exact"/>
              <w:jc w:val="center"/>
              <w:rPr>
                <w:sz w:val="18"/>
                <w:szCs w:val="18"/>
                <w:rFonts w:ascii="Verdana" w:hAnsi="Verdana"/>
              </w:rPr>
            </w:pPr>
            <w:r>
              <w:rPr>
                <w:sz w:val="18"/>
                <w:rFonts w:ascii="Verdana" w:hAnsi="Verdana"/>
              </w:rPr>
              <w:t xml:space="preserve">Slajdet e detyrueshme</w:t>
            </w:r>
          </w:p>
        </w:tc>
        <w:tc>
          <w:tcPr>
            <w:tcW w:w="7485" w:type="dxa"/>
            <w:gridSpan w:val="2"/>
            <w:vAlign w:val="center"/>
          </w:tcPr>
          <w:p w14:paraId="36345B59" w14:textId="4EFB5D9E" w:rsidR="00556D69" w:rsidRPr="00C70C5C" w:rsidRDefault="00556D69" w:rsidP="00314D32">
            <w:pPr>
              <w:spacing w:before="120" w:after="120" w:line="360" w:lineRule="auto"/>
              <w:jc w:val="both"/>
              <w:rPr>
                <w:color w:val="000000" w:themeColor="text1"/>
                <w:sz w:val="18"/>
                <w:szCs w:val="18"/>
                <w:rFonts w:ascii="Verdana" w:hAnsi="Verdana"/>
              </w:rPr>
            </w:pPr>
            <w:r>
              <w:rPr>
                <w:color w:val="000000" w:themeColor="text1"/>
                <w:sz w:val="18"/>
                <w:rFonts w:ascii="Verdana" w:hAnsi="Verdana"/>
              </w:rPr>
              <w:t xml:space="preserve">Slajdet e para janë hyrja në seancë dhe përfshijnë agjendën dhe objektivat e seancës.</w:t>
            </w:r>
            <w:r>
              <w:rPr>
                <w:color w:val="000000" w:themeColor="text1"/>
                <w:sz w:val="18"/>
                <w:rFonts w:ascii="Verdana" w:hAnsi="Verdana"/>
              </w:rPr>
              <w:t xml:space="preserve"> </w:t>
            </w:r>
          </w:p>
        </w:tc>
      </w:tr>
      <w:tr w:rsidR="00F1574D" w:rsidRPr="00D82C18" w14:paraId="65F07CB5" w14:textId="77777777" w:rsidTr="00F1574D">
        <w:trPr>
          <w:trHeight w:val="1880"/>
        </w:trPr>
        <w:tc>
          <w:tcPr>
            <w:tcW w:w="1525" w:type="dxa"/>
            <w:vAlign w:val="center"/>
          </w:tcPr>
          <w:p w14:paraId="56AF6365" w14:textId="3299BBF4" w:rsidR="00D82C18" w:rsidRDefault="00C70C5C" w:rsidP="00F1574D">
            <w:pPr>
              <w:spacing w:before="120" w:after="120" w:line="280" w:lineRule="exact"/>
              <w:jc w:val="center"/>
              <w:rPr>
                <w:sz w:val="18"/>
                <w:szCs w:val="18"/>
                <w:rFonts w:ascii="Verdana" w:hAnsi="Verdana"/>
              </w:rPr>
            </w:pPr>
            <w:r>
              <w:rPr>
                <w:sz w:val="18"/>
                <w:rFonts w:ascii="Verdana" w:hAnsi="Verdana"/>
              </w:rPr>
              <w:t xml:space="preserve">5 deri 14</w:t>
            </w:r>
          </w:p>
          <w:p w14:paraId="6F5AEB2D" w14:textId="242338E2" w:rsidR="00F1574D" w:rsidRPr="003630ED" w:rsidRDefault="00BA7368" w:rsidP="00F1574D">
            <w:pPr>
              <w:spacing w:before="120" w:after="120" w:line="280" w:lineRule="exact"/>
              <w:jc w:val="center"/>
              <w:rPr>
                <w:sz w:val="18"/>
                <w:szCs w:val="18"/>
                <w:rFonts w:ascii="Verdana" w:hAnsi="Verdana"/>
              </w:rPr>
            </w:pPr>
            <w:r>
              <w:rPr>
                <w:sz w:val="18"/>
                <w:rFonts w:ascii="Verdana" w:hAnsi="Verdana"/>
              </w:rPr>
              <w:t xml:space="preserve">Slajdet e detyrueshme</w:t>
            </w:r>
          </w:p>
        </w:tc>
        <w:tc>
          <w:tcPr>
            <w:tcW w:w="7485" w:type="dxa"/>
            <w:gridSpan w:val="2"/>
            <w:vAlign w:val="center"/>
          </w:tcPr>
          <w:p w14:paraId="223F596D" w14:textId="1842C511" w:rsidR="0049797C" w:rsidRPr="00394BB8" w:rsidRDefault="0049797C" w:rsidP="0049797C">
            <w:pPr>
              <w:pStyle w:val="Subtitle"/>
              <w:spacing w:line="360" w:lineRule="auto"/>
              <w:rPr>
                <w:iCs w:val="0"/>
                <w:color w:val="auto"/>
                <w:szCs w:val="18"/>
                <w:rFonts w:ascii="Verdana" w:eastAsiaTheme="minorHAnsi" w:hAnsi="Verdana" w:cstheme="minorBidi"/>
              </w:rPr>
            </w:pPr>
            <w:r>
              <w:rPr>
                <w:rFonts w:ascii="Verdana" w:hAnsi="Verdana"/>
              </w:rPr>
              <w:t xml:space="preserve">Këto slajde shpjegojnë veprën e falsifikimeve të lidhura me kompjuterë, siç parashihet në nenin 7 të Konventës së Budapestit.</w:t>
            </w:r>
            <w:r>
              <w:rPr>
                <w:rFonts w:ascii="Verdana" w:hAnsi="Verdana"/>
              </w:rPr>
              <w:t xml:space="preserve"> </w:t>
            </w:r>
          </w:p>
          <w:p w14:paraId="73566437" w14:textId="7A8EE174" w:rsidR="0049797C" w:rsidRPr="00394BB8" w:rsidRDefault="0049797C" w:rsidP="0049797C">
            <w:pPr>
              <w:pStyle w:val="Subtitle"/>
              <w:spacing w:line="360" w:lineRule="auto"/>
              <w:rPr>
                <w:iCs w:val="0"/>
                <w:color w:val="auto"/>
                <w:szCs w:val="18"/>
                <w:rFonts w:ascii="Verdana" w:eastAsiaTheme="minorHAnsi" w:hAnsi="Verdana" w:cstheme="minorBidi"/>
              </w:rPr>
            </w:pPr>
            <w:r>
              <w:rPr>
                <w:color w:val="auto"/>
                <w:rFonts w:ascii="Verdana" w:hAnsi="Verdana"/>
              </w:rPr>
              <w:t xml:space="preserve">Grupi i parë i slajdeve ofron një përmbledhje të elementeve kryesore të nenit 7 të Konventës së Budapestit.</w:t>
            </w:r>
            <w:r>
              <w:rPr>
                <w:color w:val="auto"/>
                <w:rFonts w:ascii="Verdana" w:hAnsi="Verdana"/>
              </w:rPr>
              <w:t xml:space="preserve"> </w:t>
            </w:r>
            <w:r>
              <w:rPr>
                <w:color w:val="auto"/>
                <w:rFonts w:ascii="Verdana" w:hAnsi="Verdana"/>
              </w:rPr>
              <w:t xml:space="preserve">Ato përfshijnë një slajd me një rast të fundit të falsifikimit të lidhur me kompjuterë në Indi, ndjekur nga slajdet me imazhe të emailit phishing dhe email të falsifikuar, që trajneri mund të përdorë për të fituar interesimin e pjesëmarrësve.</w:t>
            </w:r>
          </w:p>
          <w:p w14:paraId="649FEA68" w14:textId="3831A756" w:rsidR="00CB3026" w:rsidRPr="00CB3026" w:rsidRDefault="0049797C" w:rsidP="0049797C">
            <w:pPr>
              <w:pStyle w:val="Subtitle"/>
              <w:spacing w:line="360" w:lineRule="auto"/>
              <w:rPr>
                <w:rFonts w:ascii="Verdana" w:eastAsia="Times New Roman" w:hAnsi="Verdana"/>
              </w:rPr>
            </w:pPr>
            <w:r>
              <w:rPr>
                <w:rFonts w:ascii="Verdana" w:hAnsi="Verdana"/>
              </w:rPr>
              <w:t xml:space="preserve">Slajdet tjera janë ndarë në dy kolona.</w:t>
            </w:r>
            <w:r>
              <w:rPr>
                <w:rFonts w:ascii="Verdana" w:hAnsi="Verdana"/>
              </w:rPr>
              <w:t xml:space="preserve"> </w:t>
            </w:r>
            <w:r>
              <w:rPr>
                <w:rFonts w:ascii="Verdana" w:hAnsi="Verdana"/>
              </w:rPr>
              <w:t xml:space="preserve">Kolona në anën e majtë përsërit tekstin e nenit 7 të Konventës së Budapestit me një element të veçantë të theksuar, ndërsa kolona në anën e djathtë ofron një shpjegim të elementit të theksuar.</w:t>
            </w:r>
            <w:r>
              <w:rPr>
                <w:rFonts w:ascii="Verdana" w:hAnsi="Verdana"/>
              </w:rPr>
              <w:t xml:space="preserve"> </w:t>
            </w:r>
            <w:r>
              <w:rPr>
                <w:rFonts w:ascii="Verdana" w:hAnsi="Verdana"/>
              </w:rPr>
              <w:t xml:space="preserve">Trajneri pritet të kalojë nëpër secilin element, për t'u ofruar pjesëmarrësve një kuptim gjithëpërfshirës të nenit 7 të Konventës së Budapestit.</w:t>
            </w:r>
          </w:p>
        </w:tc>
      </w:tr>
      <w:tr w:rsidR="00F1574D" w:rsidRPr="00D82C18" w14:paraId="15587DD6" w14:textId="77777777" w:rsidTr="00040BBB">
        <w:trPr>
          <w:trHeight w:val="1266"/>
        </w:trPr>
        <w:tc>
          <w:tcPr>
            <w:tcW w:w="1525" w:type="dxa"/>
            <w:vAlign w:val="center"/>
          </w:tcPr>
          <w:p w14:paraId="5EBB803A" w14:textId="1E9F59DA" w:rsidR="00556D69" w:rsidRDefault="00402C27" w:rsidP="00F1574D">
            <w:pPr>
              <w:spacing w:before="120" w:after="120" w:line="280" w:lineRule="exact"/>
              <w:jc w:val="center"/>
              <w:rPr>
                <w:sz w:val="18"/>
                <w:szCs w:val="18"/>
                <w:rFonts w:ascii="Verdana" w:hAnsi="Verdana"/>
              </w:rPr>
            </w:pPr>
            <w:r>
              <w:rPr>
                <w:sz w:val="18"/>
                <w:rFonts w:ascii="Verdana" w:hAnsi="Verdana"/>
              </w:rPr>
              <w:t xml:space="preserve">15 deri 20</w:t>
            </w:r>
          </w:p>
          <w:p w14:paraId="65C32028" w14:textId="2E212042" w:rsidR="00F1574D" w:rsidRDefault="006B3820" w:rsidP="00F1574D">
            <w:pPr>
              <w:spacing w:before="120" w:after="120" w:line="280" w:lineRule="exact"/>
              <w:jc w:val="center"/>
              <w:rPr>
                <w:sz w:val="18"/>
                <w:szCs w:val="18"/>
                <w:rFonts w:ascii="Verdana" w:hAnsi="Verdana"/>
              </w:rPr>
            </w:pPr>
            <w:r>
              <w:rPr>
                <w:sz w:val="18"/>
                <w:rFonts w:ascii="Verdana" w:hAnsi="Verdana"/>
              </w:rPr>
              <w:t xml:space="preserve">Slajdet e detyrueshme</w:t>
            </w:r>
          </w:p>
        </w:tc>
        <w:tc>
          <w:tcPr>
            <w:tcW w:w="7485" w:type="dxa"/>
            <w:gridSpan w:val="2"/>
            <w:vAlign w:val="center"/>
          </w:tcPr>
          <w:p w14:paraId="7D750DCA" w14:textId="3F0E1437" w:rsidR="00040BBB" w:rsidRPr="00040BBB" w:rsidRDefault="00040BBB" w:rsidP="00040BBB">
            <w:pPr>
              <w:pStyle w:val="Subtitle"/>
              <w:rPr>
                <w:rFonts w:ascii="Verdana" w:eastAsia="Times New Roman" w:hAnsi="Verdana"/>
              </w:rPr>
            </w:pPr>
            <w:r>
              <w:rPr>
                <w:rFonts w:ascii="Verdana" w:hAnsi="Verdana"/>
              </w:rPr>
              <w:t xml:space="preserve">Këto slajde shpjegojnë veprën e mashtrimeve të lidhura me kompjuterë, siç parashihet në nenin 8 të Konventës së Budapestit.</w:t>
            </w:r>
            <w:r>
              <w:rPr>
                <w:rFonts w:ascii="Verdana" w:hAnsi="Verdana"/>
              </w:rPr>
              <w:t xml:space="preserve"> </w:t>
            </w:r>
          </w:p>
          <w:p w14:paraId="0E9F087B" w14:textId="7C234912" w:rsidR="00040BBB" w:rsidRPr="00040BBB" w:rsidRDefault="00040BBB" w:rsidP="00040BBB">
            <w:pPr>
              <w:pStyle w:val="Subtitle"/>
              <w:rPr>
                <w:rFonts w:ascii="Verdana" w:eastAsia="Times New Roman" w:hAnsi="Verdana"/>
              </w:rPr>
            </w:pPr>
            <w:r>
              <w:rPr>
                <w:rFonts w:ascii="Verdana" w:hAnsi="Verdana"/>
              </w:rPr>
              <w:t xml:space="preserve">Grupi i parë i slajdeve ofron një përmbledhje të elementeve kryesore të nenit 8 të Konventës së Budapestit.</w:t>
            </w:r>
            <w:r>
              <w:rPr>
                <w:rFonts w:ascii="Verdana" w:hAnsi="Verdana"/>
              </w:rPr>
              <w:t xml:space="preserve"> </w:t>
            </w:r>
            <w:r>
              <w:rPr>
                <w:rFonts w:ascii="Verdana" w:hAnsi="Verdana"/>
              </w:rPr>
              <w:t xml:space="preserve">Ato përfshijnë një studim rasti të mashtrimeve të lidhura me kompjuterë që trajneri mund të demonstrojë si një shembull i kësaj vepre penale.</w:t>
            </w:r>
            <w:r>
              <w:rPr>
                <w:rFonts w:ascii="Verdana" w:hAnsi="Verdana"/>
              </w:rPr>
              <w:t xml:space="preserve"> </w:t>
            </w:r>
          </w:p>
          <w:p w14:paraId="09B58FC0" w14:textId="4ECFBA8F" w:rsidR="00C70C5C" w:rsidRPr="00C70C5C" w:rsidRDefault="00040BBB" w:rsidP="00040BBB">
            <w:pPr>
              <w:spacing w:line="360" w:lineRule="auto"/>
              <w:jc w:val="both"/>
            </w:pPr>
            <w:r>
              <w:rPr>
                <w:color w:val="000000" w:themeColor="text1"/>
                <w:sz w:val="18"/>
                <w:rFonts w:ascii="Verdana" w:hAnsi="Verdana"/>
              </w:rPr>
              <w:t xml:space="preserve">Slajdet tjera janë ndarë në dy kolona.</w:t>
            </w:r>
            <w:r>
              <w:rPr>
                <w:color w:val="000000" w:themeColor="text1"/>
                <w:sz w:val="18"/>
                <w:rFonts w:ascii="Verdana" w:hAnsi="Verdana"/>
              </w:rPr>
              <w:t xml:space="preserve"> </w:t>
            </w:r>
            <w:r>
              <w:rPr>
                <w:color w:val="000000" w:themeColor="text1"/>
                <w:sz w:val="18"/>
                <w:rFonts w:ascii="Verdana" w:hAnsi="Verdana"/>
              </w:rPr>
              <w:t xml:space="preserve">Kolona në anën e majtë përsërit tekstin e nenit 8 të Konventës së Budapestit me një element të veçantë të theksuar, ndërsa kolona në anën e djathtë ofron një shpjegim të elementit të theksuar.</w:t>
            </w:r>
            <w:r>
              <w:rPr>
                <w:color w:val="000000" w:themeColor="text1"/>
                <w:sz w:val="18"/>
                <w:rFonts w:ascii="Verdana" w:hAnsi="Verdana"/>
              </w:rPr>
              <w:t xml:space="preserve"> </w:t>
            </w:r>
            <w:r>
              <w:rPr>
                <w:color w:val="000000" w:themeColor="text1"/>
                <w:sz w:val="18"/>
                <w:rFonts w:ascii="Verdana" w:hAnsi="Verdana"/>
              </w:rPr>
              <w:t xml:space="preserve">Trajneri pritet të kalojë nëpër secilin element, për t'u ofruar pjesëmarrësve një kuptim gjithëpërfshirës të nenit 8 të Konventës së Budapestit.</w:t>
            </w:r>
          </w:p>
        </w:tc>
      </w:tr>
      <w:tr w:rsidR="00F1574D" w:rsidRPr="00D82C18" w14:paraId="4F010995" w14:textId="77777777" w:rsidTr="00F1574D">
        <w:trPr>
          <w:trHeight w:val="791"/>
        </w:trPr>
        <w:tc>
          <w:tcPr>
            <w:tcW w:w="1525" w:type="dxa"/>
            <w:vAlign w:val="center"/>
          </w:tcPr>
          <w:p w14:paraId="15E808BA" w14:textId="4A7BD3EE" w:rsidR="00556D69" w:rsidRDefault="00491C99" w:rsidP="00F1574D">
            <w:pPr>
              <w:spacing w:before="120" w:after="120" w:line="280" w:lineRule="exact"/>
              <w:jc w:val="center"/>
              <w:rPr>
                <w:sz w:val="18"/>
                <w:szCs w:val="18"/>
                <w:rFonts w:ascii="Verdana" w:hAnsi="Verdana"/>
              </w:rPr>
            </w:pPr>
            <w:r>
              <w:rPr>
                <w:sz w:val="18"/>
                <w:rFonts w:ascii="Verdana" w:hAnsi="Verdana"/>
              </w:rPr>
              <w:t xml:space="preserve">25 deri 31</w:t>
            </w:r>
            <w:r>
              <w:rPr>
                <w:sz w:val="18"/>
                <w:rFonts w:ascii="Verdana" w:hAnsi="Verdana"/>
              </w:rPr>
              <w:t xml:space="preserve"> </w:t>
            </w:r>
          </w:p>
          <w:p w14:paraId="48504862" w14:textId="307D4B02" w:rsidR="00C70C5C" w:rsidRDefault="00C70C5C" w:rsidP="00F1574D">
            <w:pPr>
              <w:spacing w:before="120" w:after="120" w:line="280" w:lineRule="exact"/>
              <w:jc w:val="center"/>
              <w:rPr>
                <w:sz w:val="18"/>
                <w:szCs w:val="18"/>
                <w:rFonts w:ascii="Verdana" w:hAnsi="Verdana"/>
              </w:rPr>
            </w:pPr>
            <w:r>
              <w:rPr>
                <w:sz w:val="18"/>
                <w:rFonts w:ascii="Verdana" w:hAnsi="Verdana"/>
              </w:rPr>
              <w:t xml:space="preserve">Slajdet e detyrueshme</w:t>
            </w:r>
          </w:p>
        </w:tc>
        <w:tc>
          <w:tcPr>
            <w:tcW w:w="7485" w:type="dxa"/>
            <w:gridSpan w:val="2"/>
            <w:vAlign w:val="center"/>
          </w:tcPr>
          <w:p w14:paraId="4BEA6EAD" w14:textId="45576355" w:rsidR="00E06B99" w:rsidRPr="00040BBB" w:rsidRDefault="00E06B99" w:rsidP="00E06B99">
            <w:pPr>
              <w:pStyle w:val="Subtitle"/>
              <w:rPr>
                <w:rFonts w:ascii="Verdana" w:eastAsia="Times New Roman" w:hAnsi="Verdana"/>
              </w:rPr>
            </w:pPr>
            <w:r>
              <w:rPr>
                <w:rFonts w:ascii="Verdana" w:hAnsi="Verdana"/>
              </w:rPr>
              <w:t xml:space="preserve">Këto slajde shpjegojnë veprën e pornografisë me fëmijë, siç parashihet në nenin 9 të Konventës së Budapestit.</w:t>
            </w:r>
            <w:r>
              <w:rPr>
                <w:rFonts w:ascii="Verdana" w:hAnsi="Verdana"/>
              </w:rPr>
              <w:t xml:space="preserve"> </w:t>
            </w:r>
          </w:p>
          <w:p w14:paraId="7BA4CDC4" w14:textId="1C5A40C7" w:rsidR="00E06B99" w:rsidRPr="00040BBB" w:rsidRDefault="00E06B99" w:rsidP="00E06B99">
            <w:pPr>
              <w:pStyle w:val="Subtitle"/>
              <w:rPr>
                <w:rFonts w:ascii="Verdana" w:eastAsia="Times New Roman" w:hAnsi="Verdana"/>
              </w:rPr>
            </w:pPr>
            <w:r>
              <w:rPr>
                <w:rFonts w:ascii="Verdana" w:hAnsi="Verdana"/>
              </w:rPr>
              <w:t xml:space="preserve">Grupi i parë i slajdeve ofron një përmbledhje të elementeve kryesore të nenit 9 të Konventës së Budapestit.</w:t>
            </w:r>
            <w:r>
              <w:rPr>
                <w:rFonts w:ascii="Verdana" w:hAnsi="Verdana"/>
              </w:rPr>
              <w:t xml:space="preserve"> </w:t>
            </w:r>
            <w:r>
              <w:rPr>
                <w:rFonts w:ascii="Verdana" w:hAnsi="Verdana"/>
              </w:rPr>
              <w:t xml:space="preserve">Përmbledhja ndiqet nga disa studime të rastit për veprën e pornografisë me fëmijë.</w:t>
            </w:r>
          </w:p>
          <w:p w14:paraId="4AF5B3D7" w14:textId="2D625C8B" w:rsidR="00C70C5C" w:rsidRPr="00C70C5C" w:rsidRDefault="00E06B99" w:rsidP="00402C27">
            <w:pPr>
              <w:spacing w:line="360" w:lineRule="auto"/>
              <w:jc w:val="both"/>
              <w:rPr>
                <w:iCs/>
                <w:color w:val="000000" w:themeColor="text1"/>
                <w:sz w:val="18"/>
                <w:rFonts w:ascii="Verdana" w:eastAsia="Times New Roman" w:hAnsi="Verdana" w:cstheme="majorBidi"/>
              </w:rPr>
            </w:pPr>
            <w:r>
              <w:rPr>
                <w:color w:val="000000" w:themeColor="text1"/>
                <w:sz w:val="18"/>
                <w:rFonts w:ascii="Verdana" w:hAnsi="Verdana"/>
              </w:rPr>
              <w:t xml:space="preserve">Slajdet tjera janë ndarë në dy kolona.</w:t>
            </w:r>
            <w:r>
              <w:rPr>
                <w:color w:val="000000" w:themeColor="text1"/>
                <w:sz w:val="18"/>
                <w:rFonts w:ascii="Verdana" w:hAnsi="Verdana"/>
              </w:rPr>
              <w:t xml:space="preserve"> </w:t>
            </w:r>
            <w:r>
              <w:rPr>
                <w:color w:val="000000" w:themeColor="text1"/>
                <w:sz w:val="18"/>
                <w:rFonts w:ascii="Verdana" w:hAnsi="Verdana"/>
              </w:rPr>
              <w:t xml:space="preserve">Kolona në anën e majtë përsërit tekstin e nenit 9 të Konventës së Budapestit me një element të veçantë të theksuar, ndërsa kolona në anën e djathtë ofron një shpjegim të elementit të theksuar.</w:t>
            </w:r>
            <w:r>
              <w:rPr>
                <w:color w:val="000000" w:themeColor="text1"/>
                <w:sz w:val="18"/>
                <w:rFonts w:ascii="Verdana" w:hAnsi="Verdana"/>
              </w:rPr>
              <w:t xml:space="preserve"> </w:t>
            </w:r>
            <w:r>
              <w:rPr>
                <w:color w:val="000000" w:themeColor="text1"/>
                <w:sz w:val="18"/>
                <w:rFonts w:ascii="Verdana" w:hAnsi="Verdana"/>
              </w:rPr>
              <w:t xml:space="preserve">Trajneri pritet të kalojë nëpër secilin element, për t'u ofruar pjesëmarrësve një kuptim gjithëpërfshirës të nenit 9 të Konventës së Budapestit.</w:t>
            </w:r>
          </w:p>
        </w:tc>
      </w:tr>
      <w:tr w:rsidR="00F1574D" w:rsidRPr="00D82C18" w14:paraId="3C4A313A" w14:textId="77777777" w:rsidTr="00F1574D">
        <w:trPr>
          <w:trHeight w:val="890"/>
        </w:trPr>
        <w:tc>
          <w:tcPr>
            <w:tcW w:w="1525" w:type="dxa"/>
            <w:vAlign w:val="center"/>
          </w:tcPr>
          <w:p w14:paraId="1D843CBC" w14:textId="2F4B2F05" w:rsidR="00556D69" w:rsidRDefault="00402C27" w:rsidP="00F1574D">
            <w:pPr>
              <w:spacing w:before="120" w:after="120" w:line="280" w:lineRule="exact"/>
              <w:jc w:val="center"/>
              <w:rPr>
                <w:sz w:val="18"/>
                <w:szCs w:val="18"/>
                <w:rFonts w:ascii="Verdana" w:hAnsi="Verdana"/>
              </w:rPr>
            </w:pPr>
            <w:r>
              <w:rPr>
                <w:sz w:val="18"/>
                <w:rFonts w:ascii="Verdana" w:hAnsi="Verdana"/>
              </w:rPr>
              <w:t xml:space="preserve">32 deri 39</w:t>
            </w:r>
          </w:p>
          <w:p w14:paraId="00098EC4" w14:textId="009BEBF1" w:rsidR="00F1574D" w:rsidRPr="003F6587" w:rsidRDefault="00F1574D" w:rsidP="00F1574D">
            <w:pPr>
              <w:spacing w:before="120" w:after="120" w:line="280" w:lineRule="exact"/>
              <w:jc w:val="center"/>
              <w:rPr>
                <w:sz w:val="18"/>
                <w:szCs w:val="18"/>
                <w:rFonts w:ascii="Verdana" w:hAnsi="Verdana"/>
              </w:rPr>
            </w:pPr>
            <w:r>
              <w:rPr>
                <w:sz w:val="18"/>
                <w:rFonts w:ascii="Verdana" w:hAnsi="Verdana"/>
              </w:rPr>
              <w:t xml:space="preserve">Slajdet e detyrueshme</w:t>
            </w:r>
          </w:p>
        </w:tc>
        <w:tc>
          <w:tcPr>
            <w:tcW w:w="7485" w:type="dxa"/>
            <w:gridSpan w:val="2"/>
            <w:vAlign w:val="center"/>
          </w:tcPr>
          <w:p w14:paraId="23AC862E" w14:textId="69C7D64C" w:rsidR="00FD4093" w:rsidRPr="00040BBB" w:rsidRDefault="00FD4093" w:rsidP="00FD4093">
            <w:pPr>
              <w:pStyle w:val="Subtitle"/>
              <w:rPr>
                <w:rFonts w:ascii="Verdana" w:eastAsia="Times New Roman" w:hAnsi="Verdana"/>
              </w:rPr>
            </w:pPr>
            <w:r>
              <w:rPr>
                <w:rFonts w:ascii="Verdana" w:hAnsi="Verdana"/>
              </w:rPr>
              <w:t xml:space="preserve">Këto slajde shpjegojnë veprën e shkeljes së të drejtës së autorit dhe të drejtave të përafërta, siç parashihet në nenin 10 të Konventës së Budapestit.</w:t>
            </w:r>
            <w:r>
              <w:rPr>
                <w:rFonts w:ascii="Verdana" w:hAnsi="Verdana"/>
              </w:rPr>
              <w:t xml:space="preserve"> </w:t>
            </w:r>
          </w:p>
          <w:p w14:paraId="2CA46A27" w14:textId="57E8FD4B" w:rsidR="00FD4093" w:rsidRPr="00040BBB" w:rsidRDefault="00FD4093" w:rsidP="00FD4093">
            <w:pPr>
              <w:pStyle w:val="Subtitle"/>
              <w:rPr>
                <w:rFonts w:ascii="Verdana" w:eastAsia="Times New Roman" w:hAnsi="Verdana"/>
              </w:rPr>
            </w:pPr>
            <w:r>
              <w:rPr>
                <w:rFonts w:ascii="Verdana" w:hAnsi="Verdana"/>
              </w:rPr>
              <w:t xml:space="preserve">Grupi i parë i slajdeve ofron një përmbledhje të elementeve kryesore të nenit 10 të Konventës së Budapestit.</w:t>
            </w:r>
            <w:r>
              <w:rPr>
                <w:rFonts w:ascii="Verdana" w:hAnsi="Verdana"/>
              </w:rPr>
              <w:t xml:space="preserve"> </w:t>
            </w:r>
            <w:r>
              <w:rPr>
                <w:rFonts w:ascii="Verdana" w:hAnsi="Verdana"/>
              </w:rPr>
              <w:t xml:space="preserve">Këto slajde përfshijnë një studim rasti në lidhje me arrestimin e themeluesve të një faqe interneti të njohur për shkelje të së drejtës së autorit.</w:t>
            </w:r>
            <w:r>
              <w:rPr>
                <w:rFonts w:ascii="Verdana" w:hAnsi="Verdana"/>
              </w:rPr>
              <w:t xml:space="preserve"> </w:t>
            </w:r>
            <w:r>
              <w:rPr>
                <w:rFonts w:ascii="Verdana" w:hAnsi="Verdana"/>
              </w:rPr>
              <w:t xml:space="preserve">Ai gjithashtu përmban një pamje të ekranit për të demonstruar se si materialet me të drejtë autori vihen në dispozicion në faqet e internetit.</w:t>
            </w:r>
          </w:p>
          <w:p w14:paraId="09B693A1" w14:textId="5AFF475F" w:rsidR="00556D69" w:rsidRPr="006527C6" w:rsidRDefault="00FD4093" w:rsidP="00FD4093">
            <w:pPr>
              <w:spacing w:after="120" w:line="360" w:lineRule="auto"/>
              <w:jc w:val="both"/>
              <w:rPr>
                <w:sz w:val="18"/>
                <w:szCs w:val="18"/>
                <w:rFonts w:ascii="Verdana" w:hAnsi="Verdana"/>
              </w:rPr>
            </w:pPr>
            <w:r>
              <w:rPr>
                <w:color w:val="000000" w:themeColor="text1"/>
                <w:sz w:val="18"/>
                <w:rFonts w:ascii="Verdana" w:hAnsi="Verdana"/>
              </w:rPr>
              <w:t xml:space="preserve">Slajdet tjera janë ndarë në dy kolona.</w:t>
            </w:r>
            <w:r>
              <w:rPr>
                <w:color w:val="000000" w:themeColor="text1"/>
                <w:sz w:val="18"/>
                <w:rFonts w:ascii="Verdana" w:hAnsi="Verdana"/>
              </w:rPr>
              <w:t xml:space="preserve"> </w:t>
            </w:r>
            <w:r>
              <w:rPr>
                <w:color w:val="000000" w:themeColor="text1"/>
                <w:sz w:val="18"/>
                <w:rFonts w:ascii="Verdana" w:hAnsi="Verdana"/>
              </w:rPr>
              <w:t xml:space="preserve">Kolona në anën e majtë përsërit tekstin e nenit 10 të Konventës së Budapestit me një element të veçantë të theksuar, ndërsa kolona në anën e djathtë ofron një shpjegim të elementit të theksuar.</w:t>
            </w:r>
            <w:r>
              <w:rPr>
                <w:color w:val="000000" w:themeColor="text1"/>
                <w:sz w:val="18"/>
                <w:rFonts w:ascii="Verdana" w:hAnsi="Verdana"/>
              </w:rPr>
              <w:t xml:space="preserve"> </w:t>
            </w:r>
            <w:r>
              <w:rPr>
                <w:color w:val="000000" w:themeColor="text1"/>
                <w:sz w:val="18"/>
                <w:rFonts w:ascii="Verdana" w:hAnsi="Verdana"/>
              </w:rPr>
              <w:t xml:space="preserve">Trajneri pritet të kalojë nëpër secilin element, për t'u ofruar pjesëmarrësve një kuptim gjithëpërfshirës të nenit 10 të Konventës së Budapestit.</w:t>
            </w:r>
          </w:p>
        </w:tc>
      </w:tr>
      <w:tr w:rsidR="006B3820" w:rsidRPr="00D82C18" w14:paraId="7889FCA6" w14:textId="77777777" w:rsidTr="00F1574D">
        <w:trPr>
          <w:trHeight w:val="890"/>
        </w:trPr>
        <w:tc>
          <w:tcPr>
            <w:tcW w:w="1525" w:type="dxa"/>
            <w:vAlign w:val="center"/>
          </w:tcPr>
          <w:p w14:paraId="5F0CB5BC" w14:textId="5A65A905" w:rsidR="006B3820" w:rsidRDefault="00402C27" w:rsidP="006B3820">
            <w:pPr>
              <w:spacing w:before="120" w:after="120" w:line="280" w:lineRule="exact"/>
              <w:jc w:val="center"/>
              <w:rPr>
                <w:sz w:val="18"/>
                <w:szCs w:val="18"/>
                <w:rFonts w:ascii="Verdana" w:hAnsi="Verdana"/>
              </w:rPr>
            </w:pPr>
            <w:r>
              <w:rPr>
                <w:sz w:val="18"/>
                <w:rFonts w:ascii="Verdana" w:hAnsi="Verdana"/>
              </w:rPr>
              <w:t xml:space="preserve">40 deri 44</w:t>
            </w:r>
          </w:p>
          <w:p w14:paraId="49D80A1F" w14:textId="05A4CEA2" w:rsidR="006B3820" w:rsidRDefault="006B3820" w:rsidP="006B3820">
            <w:pPr>
              <w:spacing w:before="120" w:after="120" w:line="280" w:lineRule="exact"/>
              <w:jc w:val="center"/>
              <w:rPr>
                <w:sz w:val="18"/>
                <w:szCs w:val="18"/>
                <w:rFonts w:ascii="Verdana" w:hAnsi="Verdana"/>
              </w:rPr>
            </w:pPr>
            <w:r>
              <w:rPr>
                <w:sz w:val="18"/>
                <w:rFonts w:ascii="Verdana" w:hAnsi="Verdana"/>
              </w:rPr>
              <w:t xml:space="preserve">Slajdet e detyrueshme</w:t>
            </w:r>
          </w:p>
        </w:tc>
        <w:tc>
          <w:tcPr>
            <w:tcW w:w="7485" w:type="dxa"/>
            <w:gridSpan w:val="2"/>
            <w:vAlign w:val="center"/>
          </w:tcPr>
          <w:p w14:paraId="27A16CD0" w14:textId="77777777" w:rsidR="00DF01EB" w:rsidRDefault="00DF01EB" w:rsidP="00314D32">
            <w:pPr>
              <w:spacing w:after="120" w:line="360" w:lineRule="auto"/>
              <w:jc w:val="both"/>
              <w:rPr>
                <w:sz w:val="18"/>
                <w:szCs w:val="18"/>
                <w:rFonts w:ascii="Verdana" w:hAnsi="Verdana"/>
              </w:rPr>
            </w:pPr>
            <w:r>
              <w:rPr>
                <w:sz w:val="18"/>
                <w:rFonts w:ascii="Verdana" w:hAnsi="Verdana"/>
              </w:rPr>
              <w:t xml:space="preserve">Këto slajde shpjegojnë dispozitat rreth përgjegjësisë ndihmëse - në mënyrë specifike përpjekjen dhe ndihmën apo mbështetjen, siç parashikohet në nenin 11 të Konventës së Budapestit dhe përgjegjësinë e korporatës siç parashihet në nenin 12 të Konventës së Budapestit.</w:t>
            </w:r>
            <w:r>
              <w:rPr>
                <w:sz w:val="18"/>
                <w:rFonts w:ascii="Verdana" w:hAnsi="Verdana"/>
              </w:rPr>
              <w:t xml:space="preserve"> </w:t>
            </w:r>
          </w:p>
          <w:p w14:paraId="00091C29" w14:textId="7E57D8CD" w:rsidR="00DF01EB" w:rsidRDefault="00DF01EB" w:rsidP="00314D32">
            <w:pPr>
              <w:spacing w:after="120" w:line="360" w:lineRule="auto"/>
              <w:jc w:val="both"/>
              <w:rPr>
                <w:sz w:val="18"/>
                <w:szCs w:val="18"/>
                <w:rFonts w:ascii="Verdana" w:hAnsi="Verdana"/>
              </w:rPr>
            </w:pPr>
            <w:r>
              <w:rPr>
                <w:color w:val="000000" w:themeColor="text1"/>
                <w:sz w:val="18"/>
                <w:rFonts w:ascii="Verdana" w:hAnsi="Verdana"/>
              </w:rPr>
              <w:t xml:space="preserve">Ky grup i slajdeve është ndarë në dy kolona.</w:t>
            </w:r>
            <w:r>
              <w:rPr>
                <w:color w:val="000000" w:themeColor="text1"/>
                <w:sz w:val="18"/>
                <w:rFonts w:ascii="Verdana" w:hAnsi="Verdana"/>
              </w:rPr>
              <w:t xml:space="preserve"> </w:t>
            </w:r>
            <w:r>
              <w:rPr>
                <w:color w:val="000000" w:themeColor="text1"/>
                <w:sz w:val="18"/>
                <w:rFonts w:ascii="Verdana" w:hAnsi="Verdana"/>
              </w:rPr>
              <w:t xml:space="preserve">Kolona në anën e majtë përsërit tekstin e nenit 11 dhe 12 të Konventës së Budapestit, përkatësisht me një element të veçantë të theksuar, ndërsa kolona në anën e djathtë ofron një shpjegim të elementit të theksuar.</w:t>
            </w:r>
            <w:r>
              <w:rPr>
                <w:color w:val="000000" w:themeColor="text1"/>
                <w:sz w:val="18"/>
                <w:rFonts w:ascii="Verdana" w:hAnsi="Verdana"/>
              </w:rPr>
              <w:t xml:space="preserve"> </w:t>
            </w:r>
            <w:r>
              <w:rPr>
                <w:color w:val="000000" w:themeColor="text1"/>
                <w:sz w:val="18"/>
                <w:rFonts w:ascii="Verdana" w:hAnsi="Verdana"/>
              </w:rPr>
              <w:t xml:space="preserve">Trajneri pritet të kalojë nëpër secilin element, për t'u ofruar pjesëmarrësve një kuptim gjithëpërfshirës të nenit 11 dhe 12 të Konventës së Budapestit.</w:t>
            </w:r>
          </w:p>
        </w:tc>
      </w:tr>
      <w:tr w:rsidR="00F1574D" w:rsidRPr="00D82C18" w14:paraId="35503B3F" w14:textId="77777777" w:rsidTr="00F1574D">
        <w:trPr>
          <w:trHeight w:val="1259"/>
        </w:trPr>
        <w:tc>
          <w:tcPr>
            <w:tcW w:w="1525" w:type="dxa"/>
            <w:vAlign w:val="center"/>
          </w:tcPr>
          <w:p w14:paraId="5A87A945" w14:textId="450FA0B0" w:rsidR="00556D69" w:rsidRDefault="00402C27" w:rsidP="00F1574D">
            <w:pPr>
              <w:spacing w:before="120" w:after="120" w:line="280" w:lineRule="exact"/>
              <w:jc w:val="center"/>
              <w:rPr>
                <w:sz w:val="18"/>
                <w:szCs w:val="18"/>
                <w:rFonts w:ascii="Verdana" w:hAnsi="Verdana"/>
              </w:rPr>
            </w:pPr>
            <w:r>
              <w:rPr>
                <w:sz w:val="18"/>
                <w:rFonts w:ascii="Verdana" w:hAnsi="Verdana"/>
              </w:rPr>
              <w:t xml:space="preserve">45 deri 46</w:t>
            </w:r>
          </w:p>
          <w:p w14:paraId="5DE9D224" w14:textId="2175AE8F" w:rsidR="00F1574D" w:rsidRPr="006527C6" w:rsidRDefault="00F1574D" w:rsidP="00F1574D">
            <w:pPr>
              <w:spacing w:before="120" w:after="120" w:line="280" w:lineRule="exact"/>
              <w:jc w:val="center"/>
              <w:rPr>
                <w:sz w:val="18"/>
                <w:szCs w:val="18"/>
                <w:rFonts w:ascii="Verdana" w:hAnsi="Verdana"/>
              </w:rPr>
            </w:pPr>
            <w:r>
              <w:rPr>
                <w:sz w:val="18"/>
                <w:rFonts w:ascii="Verdana" w:hAnsi="Verdana"/>
              </w:rPr>
              <w:t xml:space="preserve">Slajdet e rëndësishme</w:t>
            </w:r>
          </w:p>
        </w:tc>
        <w:tc>
          <w:tcPr>
            <w:tcW w:w="7485" w:type="dxa"/>
            <w:gridSpan w:val="2"/>
            <w:vAlign w:val="center"/>
          </w:tcPr>
          <w:p w14:paraId="6E2FA816" w14:textId="0F96CD94" w:rsidR="00314D32" w:rsidRPr="00314D32" w:rsidRDefault="00DF01EB" w:rsidP="00314D32">
            <w:pPr>
              <w:pStyle w:val="Subtitle"/>
              <w:spacing w:line="360" w:lineRule="auto"/>
            </w:pPr>
            <w:r>
              <w:rPr>
                <w:rFonts w:ascii="Verdana" w:hAnsi="Verdana"/>
              </w:rPr>
              <w:t xml:space="preserve">Trajneri duhet të rishikojë objektivat e seancës me pjesëmarrësit dhe t'u japë atyre mundësinë për të bërë ndonjë pyetje në lidhje me materialet e përfshira në këtë modul.</w:t>
            </w:r>
          </w:p>
        </w:tc>
      </w:tr>
      <w:tr w:rsidR="00CB3026" w:rsidRPr="00D82C18" w14:paraId="2ECF09B7" w14:textId="77777777" w:rsidTr="00F1574D">
        <w:trPr>
          <w:trHeight w:val="890"/>
        </w:trPr>
        <w:tc>
          <w:tcPr>
            <w:tcW w:w="9010" w:type="dxa"/>
            <w:gridSpan w:val="3"/>
            <w:vAlign w:val="center"/>
          </w:tcPr>
          <w:p w14:paraId="55ED1F4B" w14:textId="77777777" w:rsidR="00CB3026" w:rsidRDefault="00CB3026" w:rsidP="00CB3026">
            <w:pPr>
              <w:spacing w:before="120" w:after="120" w:line="280" w:lineRule="exact"/>
              <w:rPr>
                <w:b/>
                <w:sz w:val="22"/>
                <w:szCs w:val="22"/>
                <w:rFonts w:ascii="Verdana" w:hAnsi="Verdana"/>
              </w:rPr>
            </w:pPr>
            <w:r>
              <w:rPr>
                <w:b/>
                <w:sz w:val="22"/>
                <w:rFonts w:ascii="Verdana" w:hAnsi="Verdana"/>
              </w:rPr>
              <w:t xml:space="preserve">Ushtrime praktike</w:t>
            </w:r>
          </w:p>
          <w:p w14:paraId="04D65D89" w14:textId="53DBD58E" w:rsidR="00CB3026" w:rsidRPr="00CB3026" w:rsidRDefault="009B4375" w:rsidP="00B3608C">
            <w:pPr>
              <w:spacing w:before="120" w:after="120" w:line="280" w:lineRule="exact"/>
              <w:rPr>
                <w:sz w:val="18"/>
                <w:szCs w:val="18"/>
                <w:rFonts w:ascii="Verdana" w:hAnsi="Verdana"/>
              </w:rPr>
            </w:pPr>
            <w:r>
              <w:rPr>
                <w:color w:val="000000" w:themeColor="text1"/>
                <w:sz w:val="18"/>
                <w:rFonts w:ascii="Verdana" w:hAnsi="Verdana"/>
              </w:rPr>
              <w:t xml:space="preserve">Nuk ka ushtrime praktike të lidhura me këtë orë mësimore.</w:t>
            </w:r>
          </w:p>
        </w:tc>
      </w:tr>
      <w:tr w:rsidR="00CB3026" w:rsidRPr="00D82C18" w14:paraId="603967A2" w14:textId="77777777" w:rsidTr="00F1574D">
        <w:tc>
          <w:tcPr>
            <w:tcW w:w="9010" w:type="dxa"/>
            <w:gridSpan w:val="3"/>
            <w:vAlign w:val="center"/>
          </w:tcPr>
          <w:p w14:paraId="57B48D1E" w14:textId="77777777" w:rsidR="00CB3026" w:rsidRDefault="00CB3026" w:rsidP="00CB3026">
            <w:pPr>
              <w:spacing w:before="120" w:after="120" w:line="280" w:lineRule="exact"/>
              <w:rPr>
                <w:b/>
                <w:sz w:val="22"/>
                <w:szCs w:val="22"/>
                <w:rFonts w:ascii="Verdana" w:hAnsi="Verdana"/>
              </w:rPr>
            </w:pPr>
            <w:r>
              <w:rPr>
                <w:b/>
                <w:sz w:val="22"/>
                <w:rFonts w:ascii="Verdana" w:hAnsi="Verdana"/>
              </w:rPr>
              <w:t xml:space="preserve">Vlerësimi/Kontrolli i njohurive</w:t>
            </w:r>
          </w:p>
          <w:p w14:paraId="4496975B" w14:textId="1B3740FD" w:rsidR="00CB3026" w:rsidRPr="00CB3026" w:rsidRDefault="00CB3026" w:rsidP="00B3608C">
            <w:pPr>
              <w:spacing w:before="120" w:after="120" w:line="280" w:lineRule="exact"/>
              <w:rPr>
                <w:sz w:val="18"/>
                <w:szCs w:val="18"/>
                <w:rFonts w:ascii="Verdana" w:hAnsi="Verdana"/>
              </w:rPr>
            </w:pPr>
            <w:r>
              <w:rPr>
                <w:color w:val="000000" w:themeColor="text1"/>
                <w:sz w:val="18"/>
                <w:rFonts w:ascii="Verdana" w:hAnsi="Verdana"/>
              </w:rPr>
              <w:t xml:space="preserve">Asnjë kontroll ose vlerësim i njohurive nuk është kërkuar për këtë seancë.</w:t>
            </w:r>
          </w:p>
        </w:tc>
      </w:tr>
    </w:tbl>
    <w:p w14:paraId="15498912" w14:textId="77777777" w:rsidR="00D82C18" w:rsidRPr="00D82C18" w:rsidRDefault="00D82C18">
      <w:pPr>
        <w:rPr>
          <w:rFonts w:ascii="Verdana" w:hAnsi="Verdana"/>
        </w:rPr>
      </w:pPr>
    </w:p>
    <w:sectPr w:rsidR="00D82C18" w:rsidRPr="00D82C18"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Times New Roman"/>
    <w:panose1 w:val="020B0804030504040204"/>
    <w:charset w:val="00"/>
    <w:family w:val="auto"/>
    <w:pitch w:val="variable"/>
    <w:sig w:usb0="00000001"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45266B2"/>
    <w:multiLevelType w:val="hybridMultilevel"/>
    <w:tmpl w:val="F43057EC"/>
    <w:lvl w:ilvl="0" w:tplc="77BA8D6C">
      <w:start w:val="1"/>
      <w:numFmt w:val="bullet"/>
      <w:lvlText w:val="•"/>
      <w:lvlJc w:val="left"/>
      <w:pPr>
        <w:tabs>
          <w:tab w:val="num" w:pos="720"/>
        </w:tabs>
        <w:ind w:left="720" w:hanging="360"/>
      </w:pPr>
      <w:rPr>
        <w:rFonts w:ascii="Arial" w:hAnsi="Arial" w:hint="default"/>
      </w:rPr>
    </w:lvl>
    <w:lvl w:ilvl="1" w:tplc="D4CAFFD8" w:tentative="1">
      <w:start w:val="1"/>
      <w:numFmt w:val="bullet"/>
      <w:lvlText w:val="•"/>
      <w:lvlJc w:val="left"/>
      <w:pPr>
        <w:tabs>
          <w:tab w:val="num" w:pos="1440"/>
        </w:tabs>
        <w:ind w:left="1440" w:hanging="360"/>
      </w:pPr>
      <w:rPr>
        <w:rFonts w:ascii="Arial" w:hAnsi="Arial" w:hint="default"/>
      </w:rPr>
    </w:lvl>
    <w:lvl w:ilvl="2" w:tplc="9A60BDC4" w:tentative="1">
      <w:start w:val="1"/>
      <w:numFmt w:val="bullet"/>
      <w:lvlText w:val="•"/>
      <w:lvlJc w:val="left"/>
      <w:pPr>
        <w:tabs>
          <w:tab w:val="num" w:pos="2160"/>
        </w:tabs>
        <w:ind w:left="2160" w:hanging="360"/>
      </w:pPr>
      <w:rPr>
        <w:rFonts w:ascii="Arial" w:hAnsi="Arial" w:hint="default"/>
      </w:rPr>
    </w:lvl>
    <w:lvl w:ilvl="3" w:tplc="A2A2899C" w:tentative="1">
      <w:start w:val="1"/>
      <w:numFmt w:val="bullet"/>
      <w:lvlText w:val="•"/>
      <w:lvlJc w:val="left"/>
      <w:pPr>
        <w:tabs>
          <w:tab w:val="num" w:pos="2880"/>
        </w:tabs>
        <w:ind w:left="2880" w:hanging="360"/>
      </w:pPr>
      <w:rPr>
        <w:rFonts w:ascii="Arial" w:hAnsi="Arial" w:hint="default"/>
      </w:rPr>
    </w:lvl>
    <w:lvl w:ilvl="4" w:tplc="9E3C0E0E" w:tentative="1">
      <w:start w:val="1"/>
      <w:numFmt w:val="bullet"/>
      <w:lvlText w:val="•"/>
      <w:lvlJc w:val="left"/>
      <w:pPr>
        <w:tabs>
          <w:tab w:val="num" w:pos="3600"/>
        </w:tabs>
        <w:ind w:left="3600" w:hanging="360"/>
      </w:pPr>
      <w:rPr>
        <w:rFonts w:ascii="Arial" w:hAnsi="Arial" w:hint="default"/>
      </w:rPr>
    </w:lvl>
    <w:lvl w:ilvl="5" w:tplc="7EB463FE" w:tentative="1">
      <w:start w:val="1"/>
      <w:numFmt w:val="bullet"/>
      <w:lvlText w:val="•"/>
      <w:lvlJc w:val="left"/>
      <w:pPr>
        <w:tabs>
          <w:tab w:val="num" w:pos="4320"/>
        </w:tabs>
        <w:ind w:left="4320" w:hanging="360"/>
      </w:pPr>
      <w:rPr>
        <w:rFonts w:ascii="Arial" w:hAnsi="Arial" w:hint="default"/>
      </w:rPr>
    </w:lvl>
    <w:lvl w:ilvl="6" w:tplc="95B26F08" w:tentative="1">
      <w:start w:val="1"/>
      <w:numFmt w:val="bullet"/>
      <w:lvlText w:val="•"/>
      <w:lvlJc w:val="left"/>
      <w:pPr>
        <w:tabs>
          <w:tab w:val="num" w:pos="5040"/>
        </w:tabs>
        <w:ind w:left="5040" w:hanging="360"/>
      </w:pPr>
      <w:rPr>
        <w:rFonts w:ascii="Arial" w:hAnsi="Arial" w:hint="default"/>
      </w:rPr>
    </w:lvl>
    <w:lvl w:ilvl="7" w:tplc="F188970C" w:tentative="1">
      <w:start w:val="1"/>
      <w:numFmt w:val="bullet"/>
      <w:lvlText w:val="•"/>
      <w:lvlJc w:val="left"/>
      <w:pPr>
        <w:tabs>
          <w:tab w:val="num" w:pos="5760"/>
        </w:tabs>
        <w:ind w:left="5760" w:hanging="360"/>
      </w:pPr>
      <w:rPr>
        <w:rFonts w:ascii="Arial" w:hAnsi="Arial" w:hint="default"/>
      </w:rPr>
    </w:lvl>
    <w:lvl w:ilvl="8" w:tplc="1FFED9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6B1384"/>
    <w:multiLevelType w:val="hybridMultilevel"/>
    <w:tmpl w:val="B8AC3A46"/>
    <w:lvl w:ilvl="0" w:tplc="E0B411A4">
      <w:start w:val="1"/>
      <w:numFmt w:val="bullet"/>
      <w:lvlText w:val="•"/>
      <w:lvlJc w:val="left"/>
      <w:pPr>
        <w:tabs>
          <w:tab w:val="num" w:pos="720"/>
        </w:tabs>
        <w:ind w:left="720" w:hanging="360"/>
      </w:pPr>
      <w:rPr>
        <w:rFonts w:ascii="Arial" w:hAnsi="Arial" w:hint="default"/>
      </w:rPr>
    </w:lvl>
    <w:lvl w:ilvl="1" w:tplc="20C0B3B0">
      <w:numFmt w:val="none"/>
      <w:lvlText w:val=""/>
      <w:lvlJc w:val="left"/>
      <w:pPr>
        <w:tabs>
          <w:tab w:val="num" w:pos="360"/>
        </w:tabs>
      </w:pPr>
    </w:lvl>
    <w:lvl w:ilvl="2" w:tplc="F0CA38CC" w:tentative="1">
      <w:start w:val="1"/>
      <w:numFmt w:val="bullet"/>
      <w:lvlText w:val="•"/>
      <w:lvlJc w:val="left"/>
      <w:pPr>
        <w:tabs>
          <w:tab w:val="num" w:pos="2160"/>
        </w:tabs>
        <w:ind w:left="2160" w:hanging="360"/>
      </w:pPr>
      <w:rPr>
        <w:rFonts w:ascii="Arial" w:hAnsi="Arial" w:hint="default"/>
      </w:rPr>
    </w:lvl>
    <w:lvl w:ilvl="3" w:tplc="6E02C082" w:tentative="1">
      <w:start w:val="1"/>
      <w:numFmt w:val="bullet"/>
      <w:lvlText w:val="•"/>
      <w:lvlJc w:val="left"/>
      <w:pPr>
        <w:tabs>
          <w:tab w:val="num" w:pos="2880"/>
        </w:tabs>
        <w:ind w:left="2880" w:hanging="360"/>
      </w:pPr>
      <w:rPr>
        <w:rFonts w:ascii="Arial" w:hAnsi="Arial" w:hint="default"/>
      </w:rPr>
    </w:lvl>
    <w:lvl w:ilvl="4" w:tplc="E7624988" w:tentative="1">
      <w:start w:val="1"/>
      <w:numFmt w:val="bullet"/>
      <w:lvlText w:val="•"/>
      <w:lvlJc w:val="left"/>
      <w:pPr>
        <w:tabs>
          <w:tab w:val="num" w:pos="3600"/>
        </w:tabs>
        <w:ind w:left="3600" w:hanging="360"/>
      </w:pPr>
      <w:rPr>
        <w:rFonts w:ascii="Arial" w:hAnsi="Arial" w:hint="default"/>
      </w:rPr>
    </w:lvl>
    <w:lvl w:ilvl="5" w:tplc="732838A0" w:tentative="1">
      <w:start w:val="1"/>
      <w:numFmt w:val="bullet"/>
      <w:lvlText w:val="•"/>
      <w:lvlJc w:val="left"/>
      <w:pPr>
        <w:tabs>
          <w:tab w:val="num" w:pos="4320"/>
        </w:tabs>
        <w:ind w:left="4320" w:hanging="360"/>
      </w:pPr>
      <w:rPr>
        <w:rFonts w:ascii="Arial" w:hAnsi="Arial" w:hint="default"/>
      </w:rPr>
    </w:lvl>
    <w:lvl w:ilvl="6" w:tplc="BFF840E2" w:tentative="1">
      <w:start w:val="1"/>
      <w:numFmt w:val="bullet"/>
      <w:lvlText w:val="•"/>
      <w:lvlJc w:val="left"/>
      <w:pPr>
        <w:tabs>
          <w:tab w:val="num" w:pos="5040"/>
        </w:tabs>
        <w:ind w:left="5040" w:hanging="360"/>
      </w:pPr>
      <w:rPr>
        <w:rFonts w:ascii="Arial" w:hAnsi="Arial" w:hint="default"/>
      </w:rPr>
    </w:lvl>
    <w:lvl w:ilvl="7" w:tplc="A56EE41C" w:tentative="1">
      <w:start w:val="1"/>
      <w:numFmt w:val="bullet"/>
      <w:lvlText w:val="•"/>
      <w:lvlJc w:val="left"/>
      <w:pPr>
        <w:tabs>
          <w:tab w:val="num" w:pos="5760"/>
        </w:tabs>
        <w:ind w:left="5760" w:hanging="360"/>
      </w:pPr>
      <w:rPr>
        <w:rFonts w:ascii="Arial" w:hAnsi="Arial" w:hint="default"/>
      </w:rPr>
    </w:lvl>
    <w:lvl w:ilvl="8" w:tplc="872AD2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923971"/>
    <w:multiLevelType w:val="hybridMultilevel"/>
    <w:tmpl w:val="87EE23CC"/>
    <w:lvl w:ilvl="0" w:tplc="D7B00EDC">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68E26929"/>
    <w:multiLevelType w:val="hybridMultilevel"/>
    <w:tmpl w:val="3D1011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5"/>
  </w:num>
  <w:num w:numId="5">
    <w:abstractNumId w:val="6"/>
  </w:num>
  <w:num w:numId="6">
    <w:abstractNumId w:val="12"/>
  </w:num>
  <w:num w:numId="7">
    <w:abstractNumId w:val="3"/>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11"/>
  </w:num>
  <w:num w:numId="10">
    <w:abstractNumId w:val="1"/>
  </w:num>
  <w:num w:numId="11">
    <w:abstractNumId w:val="10"/>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dirty" w:grammar="dirty"/>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18"/>
    <w:rsid w:val="00004EF1"/>
    <w:rsid w:val="00040BBB"/>
    <w:rsid w:val="00051376"/>
    <w:rsid w:val="000C40EE"/>
    <w:rsid w:val="000C47A2"/>
    <w:rsid w:val="000D0409"/>
    <w:rsid w:val="000F04E4"/>
    <w:rsid w:val="000F7896"/>
    <w:rsid w:val="001D2D02"/>
    <w:rsid w:val="001D603D"/>
    <w:rsid w:val="001E7389"/>
    <w:rsid w:val="00207B05"/>
    <w:rsid w:val="0023745E"/>
    <w:rsid w:val="00271010"/>
    <w:rsid w:val="002E3ECE"/>
    <w:rsid w:val="002F3B54"/>
    <w:rsid w:val="00314D32"/>
    <w:rsid w:val="0034224C"/>
    <w:rsid w:val="00342639"/>
    <w:rsid w:val="003453F7"/>
    <w:rsid w:val="003630ED"/>
    <w:rsid w:val="00372572"/>
    <w:rsid w:val="003A435F"/>
    <w:rsid w:val="003F6587"/>
    <w:rsid w:val="00402C27"/>
    <w:rsid w:val="00437AF3"/>
    <w:rsid w:val="00450007"/>
    <w:rsid w:val="00457DD3"/>
    <w:rsid w:val="00491C99"/>
    <w:rsid w:val="0049797C"/>
    <w:rsid w:val="004B7351"/>
    <w:rsid w:val="00514FE0"/>
    <w:rsid w:val="00556D69"/>
    <w:rsid w:val="005703B7"/>
    <w:rsid w:val="005729DB"/>
    <w:rsid w:val="00596408"/>
    <w:rsid w:val="005A4E47"/>
    <w:rsid w:val="005D4432"/>
    <w:rsid w:val="006527C6"/>
    <w:rsid w:val="00671ADF"/>
    <w:rsid w:val="006B0B52"/>
    <w:rsid w:val="006B3820"/>
    <w:rsid w:val="0075334E"/>
    <w:rsid w:val="007678A6"/>
    <w:rsid w:val="00775CE6"/>
    <w:rsid w:val="007E3B3E"/>
    <w:rsid w:val="00832F68"/>
    <w:rsid w:val="00844FBF"/>
    <w:rsid w:val="008817F1"/>
    <w:rsid w:val="008A4C93"/>
    <w:rsid w:val="008C3900"/>
    <w:rsid w:val="008E3FE7"/>
    <w:rsid w:val="009010F1"/>
    <w:rsid w:val="00906F18"/>
    <w:rsid w:val="00951791"/>
    <w:rsid w:val="009526EA"/>
    <w:rsid w:val="009B4375"/>
    <w:rsid w:val="009D1DB1"/>
    <w:rsid w:val="009E1390"/>
    <w:rsid w:val="009E3827"/>
    <w:rsid w:val="009F336B"/>
    <w:rsid w:val="00A03CF0"/>
    <w:rsid w:val="00A342ED"/>
    <w:rsid w:val="00A4110D"/>
    <w:rsid w:val="00A439ED"/>
    <w:rsid w:val="00A55067"/>
    <w:rsid w:val="00A734A5"/>
    <w:rsid w:val="00A76996"/>
    <w:rsid w:val="00A94D8B"/>
    <w:rsid w:val="00AA5742"/>
    <w:rsid w:val="00AC1380"/>
    <w:rsid w:val="00AC45A8"/>
    <w:rsid w:val="00B3608C"/>
    <w:rsid w:val="00BA7368"/>
    <w:rsid w:val="00C115FC"/>
    <w:rsid w:val="00C541A2"/>
    <w:rsid w:val="00C70C5C"/>
    <w:rsid w:val="00C83397"/>
    <w:rsid w:val="00CB02C4"/>
    <w:rsid w:val="00CB3026"/>
    <w:rsid w:val="00CC1F79"/>
    <w:rsid w:val="00D2324F"/>
    <w:rsid w:val="00D30EF4"/>
    <w:rsid w:val="00D716CA"/>
    <w:rsid w:val="00D82C18"/>
    <w:rsid w:val="00DF01EB"/>
    <w:rsid w:val="00E06B99"/>
    <w:rsid w:val="00E13BE7"/>
    <w:rsid w:val="00E7344B"/>
    <w:rsid w:val="00E95703"/>
    <w:rsid w:val="00F1574D"/>
    <w:rsid w:val="00F504D6"/>
    <w:rsid w:val="00F62A15"/>
    <w:rsid w:val="00F955B5"/>
    <w:rsid w:val="00FA5D5D"/>
    <w:rsid w:val="00FB24E8"/>
    <w:rsid w:val="00FB6DE5"/>
    <w:rsid w:val="00FD4093"/>
    <w:rsid w:val="00FE45CA"/>
    <w:rsid w:val="00FF2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F20326E9-F316-4B3A-9582-EFEC2E12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q-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sq-AL" w:eastAsia="de-DE"/>
    </w:rPr>
  </w:style>
  <w:style w:type="character" w:customStyle="1" w:styleId="bul1Char">
    <w:name w:val="bul1 Char"/>
    <w:link w:val="bul1"/>
    <w:locked/>
    <w:rsid w:val="00E7344B"/>
    <w:rPr>
      <w:rFonts w:ascii="Verdana" w:eastAsia="Calibri" w:hAnsi="Verdana" w:cs="Times New Roman"/>
      <w:sz w:val="18"/>
      <w:lang w:val="sq-AL"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 w:type="character" w:styleId="UnresolvedMention">
    <w:name w:val="Unresolved Mention"/>
    <w:basedOn w:val="DefaultParagraphFont"/>
    <w:uiPriority w:val="99"/>
    <w:semiHidden/>
    <w:unhideWhenUsed/>
    <w:rsid w:val="00FF2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00814">
      <w:bodyDiv w:val="1"/>
      <w:marLeft w:val="0"/>
      <w:marRight w:val="0"/>
      <w:marTop w:val="0"/>
      <w:marBottom w:val="0"/>
      <w:divBdr>
        <w:top w:val="none" w:sz="0" w:space="0" w:color="auto"/>
        <w:left w:val="none" w:sz="0" w:space="0" w:color="auto"/>
        <w:bottom w:val="none" w:sz="0" w:space="0" w:color="auto"/>
        <w:right w:val="none" w:sz="0" w:space="0" w:color="auto"/>
      </w:divBdr>
    </w:div>
    <w:div w:id="1269236215">
      <w:bodyDiv w:val="1"/>
      <w:marLeft w:val="0"/>
      <w:marRight w:val="0"/>
      <w:marTop w:val="0"/>
      <w:marBottom w:val="0"/>
      <w:divBdr>
        <w:top w:val="none" w:sz="0" w:space="0" w:color="auto"/>
        <w:left w:val="none" w:sz="0" w:space="0" w:color="auto"/>
        <w:bottom w:val="none" w:sz="0" w:space="0" w:color="auto"/>
        <w:right w:val="none" w:sz="0" w:space="0" w:color="auto"/>
      </w:divBdr>
      <w:divsChild>
        <w:div w:id="1448968158">
          <w:marLeft w:val="547"/>
          <w:marRight w:val="0"/>
          <w:marTop w:val="134"/>
          <w:marBottom w:val="0"/>
          <w:divBdr>
            <w:top w:val="none" w:sz="0" w:space="0" w:color="auto"/>
            <w:left w:val="none" w:sz="0" w:space="0" w:color="auto"/>
            <w:bottom w:val="none" w:sz="0" w:space="0" w:color="auto"/>
            <w:right w:val="none" w:sz="0" w:space="0" w:color="auto"/>
          </w:divBdr>
        </w:div>
        <w:div w:id="1467234423">
          <w:marLeft w:val="547"/>
          <w:marRight w:val="0"/>
          <w:marTop w:val="134"/>
          <w:marBottom w:val="0"/>
          <w:divBdr>
            <w:top w:val="none" w:sz="0" w:space="0" w:color="auto"/>
            <w:left w:val="none" w:sz="0" w:space="0" w:color="auto"/>
            <w:bottom w:val="none" w:sz="0" w:space="0" w:color="auto"/>
            <w:right w:val="none" w:sz="0" w:space="0" w:color="auto"/>
          </w:divBdr>
        </w:div>
        <w:div w:id="1050835902">
          <w:marLeft w:val="547"/>
          <w:marRight w:val="0"/>
          <w:marTop w:val="134"/>
          <w:marBottom w:val="0"/>
          <w:divBdr>
            <w:top w:val="none" w:sz="0" w:space="0" w:color="auto"/>
            <w:left w:val="none" w:sz="0" w:space="0" w:color="auto"/>
            <w:bottom w:val="none" w:sz="0" w:space="0" w:color="auto"/>
            <w:right w:val="none" w:sz="0" w:space="0" w:color="auto"/>
          </w:divBdr>
        </w:div>
        <w:div w:id="583953175">
          <w:marLeft w:val="547"/>
          <w:marRight w:val="0"/>
          <w:marTop w:val="134"/>
          <w:marBottom w:val="0"/>
          <w:divBdr>
            <w:top w:val="none" w:sz="0" w:space="0" w:color="auto"/>
            <w:left w:val="none" w:sz="0" w:space="0" w:color="auto"/>
            <w:bottom w:val="none" w:sz="0" w:space="0" w:color="auto"/>
            <w:right w:val="none" w:sz="0" w:space="0" w:color="auto"/>
          </w:divBdr>
        </w:div>
        <w:div w:id="820655025">
          <w:marLeft w:val="547"/>
          <w:marRight w:val="0"/>
          <w:marTop w:val="134"/>
          <w:marBottom w:val="0"/>
          <w:divBdr>
            <w:top w:val="none" w:sz="0" w:space="0" w:color="auto"/>
            <w:left w:val="none" w:sz="0" w:space="0" w:color="auto"/>
            <w:bottom w:val="none" w:sz="0" w:space="0" w:color="auto"/>
            <w:right w:val="none" w:sz="0" w:space="0" w:color="auto"/>
          </w:divBdr>
        </w:div>
        <w:div w:id="1969164461">
          <w:marLeft w:val="547"/>
          <w:marRight w:val="0"/>
          <w:marTop w:val="134"/>
          <w:marBottom w:val="0"/>
          <w:divBdr>
            <w:top w:val="none" w:sz="0" w:space="0" w:color="auto"/>
            <w:left w:val="none" w:sz="0" w:space="0" w:color="auto"/>
            <w:bottom w:val="none" w:sz="0" w:space="0" w:color="auto"/>
            <w:right w:val="none" w:sz="0" w:space="0" w:color="auto"/>
          </w:divBdr>
        </w:div>
      </w:divsChild>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 w:id="1485581219">
      <w:bodyDiv w:val="1"/>
      <w:marLeft w:val="0"/>
      <w:marRight w:val="0"/>
      <w:marTop w:val="0"/>
      <w:marBottom w:val="0"/>
      <w:divBdr>
        <w:top w:val="none" w:sz="0" w:space="0" w:color="auto"/>
        <w:left w:val="none" w:sz="0" w:space="0" w:color="auto"/>
        <w:bottom w:val="none" w:sz="0" w:space="0" w:color="auto"/>
        <w:right w:val="none" w:sz="0" w:space="0" w:color="auto"/>
      </w:divBdr>
    </w:div>
    <w:div w:id="1962566325">
      <w:bodyDiv w:val="1"/>
      <w:marLeft w:val="0"/>
      <w:marRight w:val="0"/>
      <w:marTop w:val="0"/>
      <w:marBottom w:val="0"/>
      <w:divBdr>
        <w:top w:val="none" w:sz="0" w:space="0" w:color="auto"/>
        <w:left w:val="none" w:sz="0" w:space="0" w:color="auto"/>
        <w:bottom w:val="none" w:sz="0" w:space="0" w:color="auto"/>
        <w:right w:val="none" w:sz="0" w:space="0" w:color="auto"/>
      </w:divBdr>
      <w:divsChild>
        <w:div w:id="1099369111">
          <w:marLeft w:val="547"/>
          <w:marRight w:val="0"/>
          <w:marTop w:val="125"/>
          <w:marBottom w:val="0"/>
          <w:divBdr>
            <w:top w:val="none" w:sz="0" w:space="0" w:color="auto"/>
            <w:left w:val="none" w:sz="0" w:space="0" w:color="auto"/>
            <w:bottom w:val="none" w:sz="0" w:space="0" w:color="auto"/>
            <w:right w:val="none" w:sz="0" w:space="0" w:color="auto"/>
          </w:divBdr>
        </w:div>
        <w:div w:id="837039629">
          <w:marLeft w:val="1166"/>
          <w:marRight w:val="0"/>
          <w:marTop w:val="125"/>
          <w:marBottom w:val="0"/>
          <w:divBdr>
            <w:top w:val="none" w:sz="0" w:space="0" w:color="auto"/>
            <w:left w:val="none" w:sz="0" w:space="0" w:color="auto"/>
            <w:bottom w:val="none" w:sz="0" w:space="0" w:color="auto"/>
            <w:right w:val="none" w:sz="0" w:space="0" w:color="auto"/>
          </w:divBdr>
        </w:div>
        <w:div w:id="1363357823">
          <w:marLeft w:val="1166"/>
          <w:marRight w:val="0"/>
          <w:marTop w:val="125"/>
          <w:marBottom w:val="0"/>
          <w:divBdr>
            <w:top w:val="none" w:sz="0" w:space="0" w:color="auto"/>
            <w:left w:val="none" w:sz="0" w:space="0" w:color="auto"/>
            <w:bottom w:val="none" w:sz="0" w:space="0" w:color="auto"/>
            <w:right w:val="none" w:sz="0" w:space="0" w:color="auto"/>
          </w:divBdr>
        </w:div>
        <w:div w:id="1221400460">
          <w:marLeft w:val="1166"/>
          <w:marRight w:val="0"/>
          <w:marTop w:val="125"/>
          <w:marBottom w:val="0"/>
          <w:divBdr>
            <w:top w:val="none" w:sz="0" w:space="0" w:color="auto"/>
            <w:left w:val="none" w:sz="0" w:space="0" w:color="auto"/>
            <w:bottom w:val="none" w:sz="0" w:space="0" w:color="auto"/>
            <w:right w:val="none" w:sz="0" w:space="0" w:color="auto"/>
          </w:divBdr>
        </w:div>
        <w:div w:id="1385375965">
          <w:marLeft w:val="1166"/>
          <w:marRight w:val="0"/>
          <w:marTop w:val="125"/>
          <w:marBottom w:val="0"/>
          <w:divBdr>
            <w:top w:val="none" w:sz="0" w:space="0" w:color="auto"/>
            <w:left w:val="none" w:sz="0" w:space="0" w:color="auto"/>
            <w:bottom w:val="none" w:sz="0" w:space="0" w:color="auto"/>
            <w:right w:val="none" w:sz="0" w:space="0" w:color="auto"/>
          </w:divBdr>
        </w:div>
        <w:div w:id="1921400673">
          <w:marLeft w:val="547"/>
          <w:marRight w:val="0"/>
          <w:marTop w:val="12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m.coe.int/16800cce5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Abbas Lotia</cp:lastModifiedBy>
  <cp:revision>3</cp:revision>
  <dcterms:created xsi:type="dcterms:W3CDTF">2020-10-14T09:09:00Z</dcterms:created>
  <dcterms:modified xsi:type="dcterms:W3CDTF">2020-10-14T09:12:00Z</dcterms:modified>
</cp:coreProperties>
</file>