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98724" w14:textId="3E2F8687" w:rsidR="00BA319A" w:rsidRPr="00BA319A" w:rsidRDefault="00B3608C" w:rsidP="00BA319A">
      <w:pPr>
        <w:rPr>
          <w:b/>
          <w:bCs/>
          <w:color w:val="000000" w:themeColor="text1"/>
          <w:sz w:val="28"/>
          <w:szCs w:val="28"/>
          <w:rFonts w:ascii="Verdana" w:hAnsi="Verdana"/>
        </w:rPr>
      </w:pPr>
      <w:r>
        <w:rPr>
          <w:b/>
          <w:sz w:val="28"/>
          <w:rFonts w:ascii="Verdana" w:hAnsi="Verdana"/>
        </w:rPr>
        <w:t xml:space="preserve">Mësimi 3.x </w:t>
      </w:r>
      <w:r>
        <w:rPr>
          <w:b/>
          <w:sz w:val="28"/>
          <w:color w:val="000000" w:themeColor="text1"/>
          <w:rFonts w:ascii="Verdana" w:hAnsi="Verdana"/>
        </w:rPr>
        <w:t xml:space="preserve">Ndërtimi i aftësive në krimin kibernetik</w:t>
      </w:r>
    </w:p>
    <w:p w14:paraId="1D0E3DC5" w14:textId="14C23F0E" w:rsidR="00C115FC" w:rsidRPr="00C115FC" w:rsidRDefault="00C115FC" w:rsidP="00BA319A">
      <w:pPr>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34338673" w14:textId="43382076" w:rsidR="00BA319A" w:rsidRPr="00BA319A" w:rsidRDefault="00C115FC" w:rsidP="00BA319A">
            <w:pPr>
              <w:rPr>
                <w:color w:val="000000" w:themeColor="text1"/>
                <w:sz w:val="22"/>
                <w:szCs w:val="22"/>
                <w:rFonts w:ascii="Verdana" w:hAnsi="Verdana"/>
              </w:rPr>
            </w:pPr>
            <w:r>
              <w:rPr>
                <w:sz w:val="22"/>
                <w:rFonts w:ascii="Verdana" w:hAnsi="Verdana"/>
              </w:rPr>
              <w:t xml:space="preserve">Mësimi 3.x</w:t>
            </w:r>
            <w:r>
              <w:rPr>
                <w:color w:val="000000" w:themeColor="text1"/>
                <w:sz w:val="28"/>
                <w:rFonts w:ascii="Verdana" w:hAnsi="Verdana"/>
              </w:rPr>
              <w:t xml:space="preserve"> </w:t>
            </w:r>
            <w:r>
              <w:rPr>
                <w:color w:val="000000" w:themeColor="text1"/>
                <w:sz w:val="22"/>
                <w:rFonts w:ascii="Verdana" w:hAnsi="Verdana"/>
              </w:rPr>
              <w:t xml:space="preserve">Ndërtimi i aftësive në krimin kibernetik</w:t>
            </w:r>
          </w:p>
          <w:p w14:paraId="0067FF35" w14:textId="37B9BDEC" w:rsidR="00D82C18" w:rsidRPr="00BA319A" w:rsidRDefault="00D82C18" w:rsidP="00C115FC">
            <w:pPr>
              <w:rPr>
                <w:rFonts w:ascii="Verdana" w:hAnsi="Verdana"/>
                <w:sz w:val="22"/>
                <w:szCs w:val="22"/>
              </w:rPr>
            </w:pPr>
          </w:p>
        </w:tc>
        <w:tc>
          <w:tcPr>
            <w:tcW w:w="2165" w:type="dxa"/>
            <w:shd w:val="clear" w:color="auto" w:fill="DEEAF6" w:themeFill="accent5" w:themeFillTint="33"/>
            <w:vAlign w:val="center"/>
          </w:tcPr>
          <w:p w14:paraId="30B631DA" w14:textId="1596289E" w:rsidR="00D82C18" w:rsidRPr="00D82C18" w:rsidRDefault="00D82C18" w:rsidP="00C115FC">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color w:val="000000" w:themeColor="text1"/>
                <w:rFonts w:ascii="Verdana" w:hAnsi="Verdana"/>
              </w:rPr>
              <w:t xml:space="preserve">130 minuta</w:t>
            </w:r>
            <w:r>
              <w:rPr>
                <w:sz w:val="22"/>
                <w:color w:val="000000" w:themeColor="text1"/>
                <w:rFonts w:ascii="Verdana" w:hAnsi="Verdana"/>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PC/Laptop ngarkuar me versione softuerësh të pajtueshëm me materialet e përgatitura</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Qasje në internet (nëse ka)</w:t>
            </w:r>
            <w:r>
              <w:t xml:space="preserve"> </w:t>
            </w:r>
          </w:p>
          <w:p w14:paraId="575CEC8B" w14:textId="2BC4AD0F" w:rsidR="000F7896" w:rsidRPr="000F2415" w:rsidRDefault="000F7896" w:rsidP="000F7896">
            <w:pPr>
              <w:pStyle w:val="bul1"/>
              <w:numPr>
                <w:ilvl w:val="0"/>
                <w:numId w:val="6"/>
              </w:numPr>
              <w:spacing w:line="280" w:lineRule="exact"/>
              <w:rPr>
                <w:rFonts w:ascii="Symbol" w:hAnsi="Symbol"/>
              </w:rPr>
            </w:pPr>
            <w:r>
              <w:t xml:space="preserve">PowerPoint apo softuerë tjerë prezantimi</w:t>
            </w:r>
          </w:p>
          <w:p w14:paraId="14CF9EF0" w14:textId="6F36593B" w:rsidR="000F7896" w:rsidRPr="000F7896" w:rsidRDefault="000F7896" w:rsidP="00471328">
            <w:pPr>
              <w:pStyle w:val="bul1"/>
              <w:numPr>
                <w:ilvl w:val="0"/>
                <w:numId w:val="0"/>
              </w:numPr>
              <w:spacing w:line="280" w:lineRule="exact"/>
              <w:ind w:left="720"/>
              <w:rPr>
                <w:lang w:val="en-US"/>
              </w:rPr>
            </w:pPr>
          </w:p>
        </w:tc>
      </w:tr>
      <w:tr w:rsidR="00E7344B" w:rsidRPr="00D82C18" w14:paraId="635F2EFD" w14:textId="77777777" w:rsidTr="000F2415">
        <w:trPr>
          <w:trHeight w:val="1403"/>
        </w:trPr>
        <w:tc>
          <w:tcPr>
            <w:tcW w:w="9010" w:type="dxa"/>
            <w:gridSpan w:val="3"/>
            <w:vAlign w:val="center"/>
          </w:tcPr>
          <w:p w14:paraId="34602AF3" w14:textId="6240823C"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7A737B56" w14:textId="0F692F34" w:rsidR="00BA319A" w:rsidRPr="00BA319A" w:rsidRDefault="00BA319A" w:rsidP="00BA319A">
            <w:pPr>
              <w:contextualSpacing/>
              <w:jc w:val="both"/>
              <w:rPr>
                <w:color w:val="000000"/>
                <w:sz w:val="18"/>
                <w:szCs w:val="18"/>
                <w:rFonts w:ascii="Verdana" w:eastAsia="Times New Roman" w:hAnsi="Verdana" w:cs="Arial"/>
              </w:rPr>
            </w:pPr>
            <w:r>
              <w:rPr>
                <w:color w:val="000000"/>
                <w:sz w:val="18"/>
                <w:rFonts w:ascii="Verdana" w:hAnsi="Verdana"/>
              </w:rPr>
              <w:t xml:space="preserve">Qëllimi i kësaj seance është të kontrollojë nivelin e kuptimit të pjesëmarrësve për temat e paraqitura më parë përmes analizës praktike të studimit të rastit.</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0F2415">
        <w:trPr>
          <w:trHeight w:val="2690"/>
        </w:trPr>
        <w:tc>
          <w:tcPr>
            <w:tcW w:w="9010" w:type="dxa"/>
            <w:gridSpan w:val="3"/>
          </w:tcPr>
          <w:p w14:paraId="72A48270" w14:textId="77777777" w:rsidR="00B40FCA" w:rsidRDefault="00B40FCA" w:rsidP="00F62A15">
            <w:pPr>
              <w:spacing w:before="120" w:after="120" w:line="280" w:lineRule="exact"/>
              <w:contextualSpacing/>
              <w:rPr>
                <w:rFonts w:ascii="Verdana" w:hAnsi="Verdana"/>
                <w:b/>
                <w:sz w:val="22"/>
                <w:szCs w:val="22"/>
              </w:rPr>
            </w:pPr>
          </w:p>
          <w:p w14:paraId="559A7E05" w14:textId="3672F16C" w:rsidR="00A03CF0" w:rsidRPr="00271010" w:rsidRDefault="00271010" w:rsidP="00F62A15">
            <w:pPr>
              <w:spacing w:before="120" w:after="120" w:line="280" w:lineRule="exact"/>
              <w:contextualSpacing/>
              <w:rPr>
                <w:b/>
                <w:sz w:val="22"/>
                <w:szCs w:val="22"/>
                <w:rFonts w:ascii="Verdana" w:hAnsi="Verdana"/>
              </w:rPr>
            </w:pPr>
            <w:r>
              <w:rPr>
                <w:b/>
                <w:sz w:val="22"/>
                <w:rFonts w:ascii="Verdana" w:hAnsi="Verdana"/>
              </w:rPr>
              <w:t xml:space="preserve">Objektivat:</w:t>
            </w:r>
          </w:p>
          <w:p w14:paraId="5A1E9EBA" w14:textId="27C13040" w:rsidR="000F2415" w:rsidRPr="000F2415" w:rsidRDefault="000F2415" w:rsidP="000F2415">
            <w:pPr>
              <w:pStyle w:val="ListParagraph"/>
              <w:numPr>
                <w:ilvl w:val="0"/>
                <w:numId w:val="18"/>
              </w:numPr>
              <w:tabs>
                <w:tab w:val="left" w:pos="426"/>
                <w:tab w:val="left" w:pos="851"/>
              </w:tabs>
              <w:jc w:val="both"/>
              <w:rPr>
                <w:sz w:val="18"/>
                <w:szCs w:val="18"/>
                <w:rFonts w:ascii="Verdana" w:eastAsia="Times New Roman" w:hAnsi="Verdana" w:cs="Times New Roman"/>
              </w:rPr>
            </w:pPr>
            <w:r>
              <w:rPr>
                <w:i/>
                <w:sz w:val="18"/>
                <w:rFonts w:ascii="Verdana" w:hAnsi="Verdana"/>
              </w:rPr>
              <w:t xml:space="preserve">Të analizohet përmbledhja e studimit të rastit në mjedisin e punës në grup</w:t>
            </w:r>
          </w:p>
          <w:p w14:paraId="3964C5BE"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3BC2D92" w14:textId="4B26C6AE" w:rsidR="000F2415" w:rsidRPr="000F2415" w:rsidRDefault="000F2415" w:rsidP="000F2415">
            <w:pPr>
              <w:pStyle w:val="ListParagraph"/>
              <w:numPr>
                <w:ilvl w:val="0"/>
                <w:numId w:val="18"/>
              </w:numPr>
              <w:tabs>
                <w:tab w:val="left" w:pos="426"/>
                <w:tab w:val="left" w:pos="851"/>
              </w:tabs>
              <w:jc w:val="both"/>
              <w:rPr>
                <w:sz w:val="18"/>
                <w:szCs w:val="18"/>
                <w:rFonts w:ascii="Verdana" w:eastAsia="Times New Roman" w:hAnsi="Verdana" w:cs="Times New Roman"/>
              </w:rPr>
            </w:pPr>
            <w:r>
              <w:rPr>
                <w:i/>
                <w:sz w:val="18"/>
                <w:rFonts w:ascii="Verdana" w:hAnsi="Verdana"/>
              </w:rPr>
              <w:t xml:space="preserve">Të zbatohen njohuritë e marra gjatë Trajnimit Themelor Gjyqësor mbi Krimin Kibernetik dhe Provat Elektronike në rastin studimor</w:t>
            </w:r>
          </w:p>
          <w:p w14:paraId="08FB48D8"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452D1860" w14:textId="2B263F0B" w:rsidR="000F2415" w:rsidRPr="000F2415" w:rsidRDefault="000F2415" w:rsidP="000F2415">
            <w:pPr>
              <w:pStyle w:val="ListParagraph"/>
              <w:numPr>
                <w:ilvl w:val="0"/>
                <w:numId w:val="18"/>
              </w:numPr>
              <w:tabs>
                <w:tab w:val="left" w:pos="426"/>
                <w:tab w:val="left" w:pos="851"/>
              </w:tabs>
              <w:jc w:val="both"/>
              <w:rPr>
                <w:sz w:val="18"/>
                <w:szCs w:val="18"/>
                <w:rFonts w:ascii="Verdana" w:eastAsia="Times New Roman" w:hAnsi="Verdana" w:cs="Times New Roman"/>
              </w:rPr>
            </w:pPr>
            <w:r>
              <w:rPr>
                <w:i/>
                <w:sz w:val="18"/>
                <w:rFonts w:ascii="Verdana" w:hAnsi="Verdana"/>
              </w:rPr>
              <w:t xml:space="preserve">Të raportohet në lidhje me konkluzionet e studimit të rastit</w:t>
            </w:r>
          </w:p>
          <w:p w14:paraId="754D41CA"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1ABEAC5" w14:textId="7B3A9CCD" w:rsidR="004D35F1" w:rsidRPr="000F2415" w:rsidRDefault="000F2415" w:rsidP="000F2415">
            <w:pPr>
              <w:pStyle w:val="ListParagraph"/>
              <w:numPr>
                <w:ilvl w:val="0"/>
                <w:numId w:val="18"/>
              </w:numPr>
              <w:tabs>
                <w:tab w:val="left" w:pos="426"/>
                <w:tab w:val="left" w:pos="851"/>
              </w:tabs>
              <w:jc w:val="both"/>
              <w:rPr>
                <w:sz w:val="18"/>
                <w:szCs w:val="18"/>
                <w:rFonts w:ascii="Verdana" w:eastAsia="Times New Roman" w:hAnsi="Verdana" w:cs="Times New Roman"/>
              </w:rPr>
            </w:pPr>
            <w:r>
              <w:rPr>
                <w:i/>
                <w:sz w:val="18"/>
                <w:rFonts w:ascii="Verdana" w:hAnsi="Verdana"/>
              </w:rPr>
              <w:t xml:space="preserve">Të kuptohet cilët duhet të jenë hapat e ardhshëm për zhvillimin e njohurive dhe aftësive në lidhje me krimin kibernetik</w:t>
            </w: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Udhëzimi për trajnerë</w:t>
            </w:r>
          </w:p>
          <w:p w14:paraId="4A62EF5F" w14:textId="0CCF50E3" w:rsidR="004D35F1" w:rsidRDefault="004D35F1" w:rsidP="00D46C6A">
            <w:pPr>
              <w:spacing w:beforeLines="20" w:before="48" w:afterLines="120" w:after="288" w:line="280" w:lineRule="atLeast"/>
              <w:jc w:val="both"/>
              <w:rPr>
                <w:bCs/>
                <w:color w:val="000000" w:themeColor="text1"/>
                <w:sz w:val="18"/>
                <w:szCs w:val="18"/>
                <w:rFonts w:ascii="Verdana" w:hAnsi="Verdana"/>
              </w:rPr>
            </w:pPr>
            <w:r>
              <w:rPr>
                <w:color w:val="000000" w:themeColor="text1"/>
                <w:sz w:val="18"/>
                <w:rFonts w:ascii="Verdana" w:hAnsi="Verdana"/>
              </w:rPr>
              <w:t xml:space="preserve">Gjatë seancës duhet të merren parasysh temat vijuese:</w:t>
            </w:r>
          </w:p>
          <w:p w14:paraId="4F2E7318" w14:textId="44023057" w:rsidR="00F824B2"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color w:val="000000" w:themeColor="text1"/>
                <w:sz w:val="18"/>
                <w:rFonts w:ascii="Verdana" w:hAnsi="Verdana"/>
              </w:rPr>
              <w:t xml:space="preserve">Hyrje për rastin studimor</w:t>
            </w:r>
          </w:p>
          <w:p w14:paraId="23056488" w14:textId="55CC9F83"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color w:val="000000" w:themeColor="text1"/>
                <w:sz w:val="18"/>
                <w:rFonts w:ascii="Verdana" w:hAnsi="Verdana"/>
              </w:rPr>
              <w:t xml:space="preserve">Ndarja e grupeve</w:t>
            </w:r>
          </w:p>
          <w:p w14:paraId="261056EF" w14:textId="0ABDB081"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color w:val="000000" w:themeColor="text1"/>
                <w:sz w:val="18"/>
                <w:rFonts w:ascii="Verdana" w:hAnsi="Verdana"/>
              </w:rPr>
              <w:t xml:space="preserve">Caktimi i kohës për analizën</w:t>
            </w:r>
          </w:p>
          <w:p w14:paraId="2A28FAAA" w14:textId="2F9BC450"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color w:val="000000" w:themeColor="text1"/>
                <w:sz w:val="18"/>
                <w:rFonts w:ascii="Verdana" w:hAnsi="Verdana"/>
              </w:rPr>
              <w:t xml:space="preserve">Caktimi i kohës për Raportimin në Grup</w:t>
            </w:r>
          </w:p>
          <w:p w14:paraId="02172638" w14:textId="77777777"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sz w:val="18"/>
                <w:rFonts w:ascii="Verdana" w:hAnsi="Verdana"/>
              </w:rPr>
              <w:t xml:space="preserve">Rast studimor</w:t>
            </w:r>
          </w:p>
          <w:p w14:paraId="41DA5A85" w14:textId="77777777"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sz w:val="18"/>
                <w:rFonts w:ascii="Verdana" w:hAnsi="Verdana"/>
              </w:rPr>
              <w:t xml:space="preserve">Raportimi grupor</w:t>
            </w:r>
          </w:p>
          <w:p w14:paraId="62AB3B6E" w14:textId="77777777"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sz w:val="18"/>
                <w:rFonts w:ascii="Verdana" w:hAnsi="Verdana"/>
              </w:rPr>
              <w:t xml:space="preserve">Adresimi i pyetjeve</w:t>
            </w:r>
          </w:p>
          <w:p w14:paraId="5EFF4BEF" w14:textId="53F93B2B" w:rsidR="000F2415" w:rsidRPr="00D46C6A" w:rsidRDefault="000F2415" w:rsidP="00D46C6A">
            <w:pPr>
              <w:pStyle w:val="ListParagraph"/>
              <w:widowControl w:val="0"/>
              <w:numPr>
                <w:ilvl w:val="0"/>
                <w:numId w:val="35"/>
              </w:numPr>
              <w:spacing w:beforeLines="20" w:before="48" w:afterLines="120" w:after="288" w:line="280" w:lineRule="atLeast"/>
              <w:jc w:val="both"/>
              <w:rPr>
                <w:sz w:val="18"/>
                <w:szCs w:val="18"/>
                <w:rFonts w:ascii="Verdana" w:hAnsi="Verdana" w:cs="Arial"/>
              </w:rPr>
            </w:pPr>
            <w:r>
              <w:rPr>
                <w:sz w:val="18"/>
                <w:rFonts w:ascii="Verdana" w:hAnsi="Verdana"/>
              </w:rPr>
              <w:t xml:space="preserve">Konkluzionet e ushtrimit</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F1574D" w:rsidRPr="00D82C18" w14:paraId="11A12D7E" w14:textId="77777777" w:rsidTr="00BD7897">
        <w:trPr>
          <w:trHeight w:val="1043"/>
        </w:trPr>
        <w:tc>
          <w:tcPr>
            <w:tcW w:w="1525" w:type="dxa"/>
            <w:vAlign w:val="center"/>
          </w:tcPr>
          <w:p w14:paraId="67083237" w14:textId="7BCA6E59" w:rsidR="00D82C18" w:rsidRDefault="003630ED" w:rsidP="00F1574D">
            <w:pPr>
              <w:spacing w:before="120" w:after="120" w:line="280" w:lineRule="exact"/>
              <w:jc w:val="center"/>
              <w:rPr>
                <w:sz w:val="18"/>
                <w:szCs w:val="18"/>
                <w:rFonts w:ascii="Verdana" w:hAnsi="Verdana"/>
              </w:rPr>
            </w:pPr>
            <w:r>
              <w:rPr>
                <w:sz w:val="18"/>
                <w:rFonts w:ascii="Verdana" w:hAnsi="Verdana"/>
              </w:rPr>
              <w:t xml:space="preserve">1 deri 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36345B59" w14:textId="11CCE798" w:rsidR="00556D69" w:rsidRPr="00556D69" w:rsidRDefault="00556D69" w:rsidP="000F2415">
            <w:pPr>
              <w:spacing w:before="120" w:after="120" w:line="280" w:lineRule="exact"/>
              <w:jc w:val="both"/>
              <w:rPr>
                <w:color w:val="FF0000"/>
                <w:sz w:val="18"/>
                <w:szCs w:val="18"/>
                <w:rFonts w:ascii="Verdana" w:hAnsi="Verdana"/>
              </w:rPr>
            </w:pPr>
            <w:r>
              <w:rPr>
                <w:color w:val="000000" w:themeColor="text1"/>
                <w:sz w:val="18"/>
                <w:rFonts w:ascii="Verdana" w:hAnsi="Verdana"/>
              </w:rPr>
              <w:t xml:space="preserve">Slajdet e parë janë hyrja në seancë dhe përfshijnë Agjendën dhe objektivat e seancës.</w:t>
            </w:r>
          </w:p>
        </w:tc>
      </w:tr>
      <w:tr w:rsidR="00A60446" w:rsidRPr="00D82C18" w14:paraId="42D2960A" w14:textId="77777777" w:rsidTr="000F2415">
        <w:trPr>
          <w:trHeight w:val="1160"/>
        </w:trPr>
        <w:tc>
          <w:tcPr>
            <w:tcW w:w="1525" w:type="dxa"/>
            <w:vAlign w:val="center"/>
          </w:tcPr>
          <w:p w14:paraId="3DAC33AA" w14:textId="62080AF5" w:rsidR="00A60446" w:rsidRDefault="00BA6A8F" w:rsidP="00BD7897">
            <w:pPr>
              <w:spacing w:before="120" w:after="120" w:line="280" w:lineRule="exact"/>
              <w:jc w:val="center"/>
              <w:rPr>
                <w:sz w:val="18"/>
                <w:szCs w:val="18"/>
                <w:rFonts w:ascii="Verdana" w:hAnsi="Verdana"/>
              </w:rPr>
            </w:pPr>
            <w:r>
              <w:rPr>
                <w:sz w:val="18"/>
                <w:rFonts w:ascii="Verdana" w:hAnsi="Verdana"/>
              </w:rPr>
              <w:t xml:space="preserve">4 deri 7</w:t>
            </w:r>
          </w:p>
        </w:tc>
        <w:tc>
          <w:tcPr>
            <w:tcW w:w="7485" w:type="dxa"/>
            <w:gridSpan w:val="2"/>
            <w:vAlign w:val="center"/>
          </w:tcPr>
          <w:p w14:paraId="16228424" w14:textId="77777777" w:rsidR="00A60446" w:rsidRDefault="00BA6A8F" w:rsidP="0045500D">
            <w:pPr>
              <w:pStyle w:val="Subtitle"/>
              <w:rPr>
                <w:szCs w:val="18"/>
                <w:rFonts w:ascii="Verdana" w:eastAsia="Times New Roman" w:hAnsi="Verdana"/>
              </w:rPr>
            </w:pPr>
            <w:r>
              <w:rPr>
                <w:rFonts w:ascii="Verdana" w:hAnsi="Verdana"/>
              </w:rPr>
              <w:t xml:space="preserve">Këto slajde paraqesin vetë hyrjen në ushtrim me shpjegime të shkurtra në lidhje me rregullimet logjistike për të.</w:t>
            </w:r>
          </w:p>
          <w:p w14:paraId="67CC13E1" w14:textId="5E376C75"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Studimi i rastit parashihet të jetë modular, që do të thotë që pjesë të ndryshme të ushtrimit mund të organizohen.</w:t>
            </w:r>
            <w:r>
              <w:rPr>
                <w:sz w:val="18"/>
                <w:rFonts w:ascii="Verdana" w:hAnsi="Verdana"/>
              </w:rPr>
              <w:t xml:space="preserve"> </w:t>
            </w:r>
            <w:r>
              <w:rPr>
                <w:sz w:val="18"/>
                <w:rFonts w:ascii="Verdana" w:hAnsi="Verdana"/>
              </w:rPr>
              <w:t xml:space="preserve">Studimi i rastit është modular në mënyrën se si një, dy, katër ose një numër i ndryshëm i grupeve mund të punojnë në të, në varësi të kushteve.</w:t>
            </w:r>
            <w:r>
              <w:rPr>
                <w:sz w:val="18"/>
                <w:rFonts w:ascii="Verdana" w:hAnsi="Verdana"/>
              </w:rPr>
              <w:t xml:space="preserve"> </w:t>
            </w:r>
            <w:r>
              <w:rPr>
                <w:sz w:val="18"/>
                <w:rFonts w:ascii="Verdana" w:hAnsi="Verdana"/>
              </w:rPr>
              <w:t xml:space="preserve">Çdo grup, kur është më shumë se një, do të marrë pjesën e vet të historisë së çështjes dhe do të përgatisë pjesën e tij të raportit të rastit.</w:t>
            </w:r>
            <w:r>
              <w:rPr>
                <w:sz w:val="18"/>
                <w:rFonts w:ascii="Verdana" w:hAnsi="Verdana"/>
              </w:rPr>
              <w:t xml:space="preserve"> </w:t>
            </w:r>
          </w:p>
          <w:p w14:paraId="1B23908F"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Në mënyrë ideale, duhet të formohen katër grupe, dhe secili grup duhet të marrë pjesën e tij të Studimit.</w:t>
            </w:r>
            <w:r>
              <w:rPr>
                <w:sz w:val="18"/>
                <w:rFonts w:ascii="Verdana" w:hAnsi="Verdana"/>
              </w:rPr>
              <w:t xml:space="preserve"> </w:t>
            </w:r>
            <w:r>
              <w:rPr>
                <w:sz w:val="18"/>
                <w:rFonts w:ascii="Verdana" w:hAnsi="Verdana"/>
              </w:rPr>
              <w:t xml:space="preserve">Grupi 1 duhet të punojë në slajdet "Kush jam unë?", Grupi 2 duhet të punojë në slajdet “Ndiqni të Dhënat”, Grupi 3 duhet të punojë në slajdet “Ndiqni Paratë”, ndërsa Grupi 4 duhet të punojë në slajdet “Ndiqni Udhëheqësin”.</w:t>
            </w:r>
            <w:r>
              <w:rPr>
                <w:sz w:val="18"/>
                <w:rFonts w:ascii="Verdana" w:hAnsi="Verdana"/>
              </w:rPr>
              <w:t xml:space="preserve"> </w:t>
            </w:r>
            <w:r>
              <w:rPr>
                <w:sz w:val="18"/>
                <w:rFonts w:ascii="Verdana" w:hAnsi="Verdana"/>
              </w:rPr>
              <w:t xml:space="preserve">Nëse numrat e pjesëmarrësve janë të ndryshëm, eksperti duhet ta adaptojë këtë ndarje.</w:t>
            </w:r>
          </w:p>
          <w:p w14:paraId="3E6D6E0E"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Në fund, të gjitha grupet gjatë raportimit në të vërtetë do të bashkojnë raportet e pjesshme në një të madh dhe përfundimtar, duke kuptuar se të gjithë ata kanë punuar në një rast dhe kanë marrë pjesë në krijimin e një tabele tregimi ndërsa zgjidhin rastin me konkluzione të përbashkëta.</w:t>
            </w:r>
          </w:p>
          <w:p w14:paraId="0723DA18"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Në varësi të kushteve lokale të trajnimit, eksperti duhet të bëjë rregullimet e nevojshme me pjesëmarrësit.</w:t>
            </w:r>
            <w:r>
              <w:rPr>
                <w:sz w:val="18"/>
                <w:rFonts w:ascii="Verdana" w:hAnsi="Verdana"/>
              </w:rPr>
              <w:t xml:space="preserve"> </w:t>
            </w:r>
            <w:r>
              <w:rPr>
                <w:sz w:val="18"/>
                <w:rFonts w:ascii="Verdana" w:hAnsi="Verdana"/>
              </w:rPr>
              <w:t xml:space="preserve">Përmbledhja e hollësishme e studimit të rastit është në dispozicion si material trajnimi shtesë.</w:t>
            </w:r>
          </w:p>
          <w:p w14:paraId="1246D7D4" w14:textId="23B88D3A" w:rsidR="00471328" w:rsidRPr="00D46C6A" w:rsidRDefault="00471328" w:rsidP="00D46C6A">
            <w:pPr>
              <w:spacing w:before="20" w:after="120" w:line="280" w:lineRule="atLeast"/>
              <w:jc w:val="both"/>
              <w:rPr>
                <w:sz w:val="18"/>
                <w:szCs w:val="18"/>
                <w:rFonts w:ascii="Verdana" w:hAnsi="Verdana"/>
              </w:rPr>
            </w:pPr>
            <w:r>
              <w:rPr>
                <w:sz w:val="18"/>
                <w:rFonts w:ascii="Verdana" w:hAnsi="Verdana"/>
              </w:rPr>
              <w:t xml:space="preserve">Për versionin on-line të trajnimit, studimi i rastit mund të organizohet në mënyrën që pjesëmarrësit i përkasin një grupi ndërsa eksperti i udhëheq ata përmes fakteve, pyetjeve dhe zgjidhjeve, ndërkohë që angazhohet në mënyrë aktive me ta.</w:t>
            </w:r>
          </w:p>
        </w:tc>
      </w:tr>
      <w:tr w:rsidR="003B34C4" w:rsidRPr="00D82C18" w14:paraId="19763061" w14:textId="77777777" w:rsidTr="000F2415">
        <w:trPr>
          <w:trHeight w:val="890"/>
        </w:trPr>
        <w:tc>
          <w:tcPr>
            <w:tcW w:w="1525" w:type="dxa"/>
            <w:vAlign w:val="center"/>
          </w:tcPr>
          <w:p w14:paraId="58BC834A" w14:textId="59E86088" w:rsidR="003B34C4" w:rsidRDefault="00BA6A8F" w:rsidP="00BD7897">
            <w:pPr>
              <w:spacing w:before="120" w:after="120" w:line="280" w:lineRule="exact"/>
              <w:jc w:val="center"/>
              <w:rPr>
                <w:sz w:val="18"/>
                <w:szCs w:val="18"/>
                <w:rFonts w:ascii="Verdana" w:hAnsi="Verdana"/>
              </w:rPr>
            </w:pPr>
            <w:r>
              <w:rPr>
                <w:sz w:val="18"/>
                <w:rFonts w:ascii="Verdana" w:hAnsi="Verdana"/>
              </w:rPr>
              <w:t xml:space="preserve">8 deri 18</w:t>
            </w:r>
          </w:p>
        </w:tc>
        <w:tc>
          <w:tcPr>
            <w:tcW w:w="7485" w:type="dxa"/>
            <w:gridSpan w:val="2"/>
            <w:vAlign w:val="center"/>
          </w:tcPr>
          <w:p w14:paraId="76C630C1" w14:textId="77777777" w:rsidR="003B34C4" w:rsidRDefault="003B34C4" w:rsidP="003B34C4">
            <w:pPr>
              <w:pStyle w:val="Subtitle"/>
              <w:rPr>
                <w:szCs w:val="18"/>
                <w:rFonts w:ascii="Verdana" w:eastAsia="Times New Roman" w:hAnsi="Verdana"/>
              </w:rPr>
            </w:pPr>
            <w:r>
              <w:rPr>
                <w:rFonts w:ascii="Verdana" w:hAnsi="Verdana"/>
              </w:rPr>
              <w:t xml:space="preserve">Këto slajde paraqesin Skenarin e Studimit të Rastit.</w:t>
            </w:r>
            <w:r>
              <w:rPr>
                <w:rFonts w:ascii="Verdana" w:hAnsi="Verdana"/>
              </w:rPr>
              <w:t xml:space="preserve"> </w:t>
            </w:r>
          </w:p>
          <w:p w14:paraId="052A2E87"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Studimi i rastit nxjerr formën e një prej rasteve aktuale dhe ende në vazhdim e sipër në një nga palët e Konventës së Krimit Kibernetik.</w:t>
            </w:r>
            <w:r>
              <w:rPr>
                <w:sz w:val="18"/>
                <w:rFonts w:ascii="Verdana" w:hAnsi="Verdana"/>
              </w:rPr>
              <w:t xml:space="preserve"> </w:t>
            </w:r>
            <w:r>
              <w:rPr>
                <w:sz w:val="18"/>
                <w:rFonts w:ascii="Verdana" w:hAnsi="Verdana"/>
              </w:rPr>
              <w:t xml:space="preserve">Ai përfaqëson studimin e mënyrave të reja sesi pastrimi i parave mund të organizohet nga abuzimi i mediave sociale, sistemeve të pagesave on-line dhe sistemeve të basteve on-line.</w:t>
            </w:r>
          </w:p>
          <w:p w14:paraId="3E479B4E"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Sidoqoftë, në thelbin e tij, ky rast përfshin përkufizime dhe terma tashmë të njohur të hyrjes së jashtëligjshme, ndërhyrje në të dhëna, falsifikim në lidhje me kompjuterë, mashtrim në lidhje me kompjuterë, vepër në lidhje me shkeljet e të drejtës së autorit dhe të drejtat e lidhura me të nga ana e së drejtës materiale.</w:t>
            </w:r>
            <w:r>
              <w:rPr>
                <w:sz w:val="18"/>
                <w:rFonts w:ascii="Verdana" w:hAnsi="Verdana"/>
              </w:rPr>
              <w:t xml:space="preserve"> </w:t>
            </w:r>
          </w:p>
          <w:p w14:paraId="5C1DC3E5"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Nga ana procedurale, përdoren mjete si ruajtja e shpejtë dhe zbulimi i pjesshëm i të dhënave të trafikut, rendi i prodhimit, kontrolli dhe sekuestrimi i të dhënave të ruajtura kompjuterike, mbledhja në kohë reale e të dhënave të trafikut dhe përgjimi i të dhënave të përmbajtjes.</w:t>
            </w:r>
          </w:p>
          <w:p w14:paraId="53059D73" w14:textId="7CF109BF" w:rsidR="00471328" w:rsidRPr="00471328" w:rsidRDefault="00471328" w:rsidP="00471328">
            <w:pPr>
              <w:spacing w:before="20" w:after="120" w:line="280" w:lineRule="atLeast"/>
              <w:jc w:val="both"/>
            </w:pPr>
            <w:r>
              <w:rPr>
                <w:sz w:val="18"/>
                <w:rFonts w:ascii="Verdana" w:hAnsi="Verdana"/>
              </w:rPr>
              <w:t xml:space="preserve">Pjesa e ndihmës juridike të ndërsjellë është duke përdorur ekstradimin, ruajtjen e shpejtë dhe zbulimin e pjesshëm të të dhënave të trafikut, zbulimin e shpejtë të të dhënave të ruajtura të trafikut, ndihmën e ndërsjellë në lidhje me qasjen e të dhënave të ruajtura kompjuterike, ndihmën e ndërsjellë në lidhje me mbledhjen në kohë reale të të dhënave të trafikut, ndihmën e ndërsjellë në lidhje me përgjimin e të dhënave të përmbajtjes dhe artikujt e rrjetit 24/7 të Konventës së Budapestit</w:t>
            </w:r>
          </w:p>
        </w:tc>
      </w:tr>
      <w:tr w:rsidR="003B34C4" w:rsidRPr="00D82C18" w14:paraId="2DD044A7" w14:textId="77777777" w:rsidTr="000F2415">
        <w:trPr>
          <w:trHeight w:val="1439"/>
        </w:trPr>
        <w:tc>
          <w:tcPr>
            <w:tcW w:w="1525" w:type="dxa"/>
            <w:vAlign w:val="center"/>
          </w:tcPr>
          <w:p w14:paraId="4CFF30A3" w14:textId="1521DA79" w:rsidR="003B34C4" w:rsidRDefault="000F2415" w:rsidP="00BD7897">
            <w:pPr>
              <w:spacing w:before="120" w:after="120" w:line="280" w:lineRule="exact"/>
              <w:jc w:val="center"/>
              <w:rPr>
                <w:sz w:val="18"/>
                <w:szCs w:val="18"/>
                <w:rFonts w:ascii="Verdana" w:hAnsi="Verdana"/>
              </w:rPr>
            </w:pPr>
            <w:r>
              <w:rPr>
                <w:sz w:val="18"/>
                <w:rFonts w:ascii="Verdana" w:hAnsi="Verdana"/>
              </w:rPr>
              <w:t xml:space="preserve">19 deri 21</w:t>
            </w:r>
          </w:p>
        </w:tc>
        <w:tc>
          <w:tcPr>
            <w:tcW w:w="7485" w:type="dxa"/>
            <w:gridSpan w:val="2"/>
            <w:vAlign w:val="center"/>
          </w:tcPr>
          <w:p w14:paraId="72496BFC" w14:textId="22E1CCB1" w:rsidR="000F2415" w:rsidRDefault="000F2415" w:rsidP="00471328">
            <w:pPr>
              <w:pStyle w:val="Subtitle"/>
              <w:rPr>
                <w:szCs w:val="18"/>
                <w:rFonts w:ascii="Verdana" w:eastAsia="Times New Roman" w:hAnsi="Verdana"/>
              </w:rPr>
            </w:pPr>
            <w:r>
              <w:rPr>
                <w:rFonts w:ascii="Verdana" w:hAnsi="Verdana"/>
              </w:rPr>
              <w:t xml:space="preserve">Këto slajde paraqesin detyra, çështje dhe pyetje të mundshme në lidhje me studimin e rastit.</w:t>
            </w:r>
          </w:p>
          <w:p w14:paraId="7382801A" w14:textId="7D5156A2"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Eksperti duhet të paraqesë çështjet kryesore të cilat përfaqësojnë në thelb idetë kryesore në lidhje me çështjen e cila duhet të hulumtohet gjatë kohës së punës në grup.</w:t>
            </w:r>
          </w:p>
          <w:p w14:paraId="0F4F8740" w14:textId="77777777" w:rsidR="00471328"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Pyetjet kryesore përfshijnë të gjithë kapitujt e Konventës së Krimit Kibernetik.</w:t>
            </w:r>
            <w:r>
              <w:rPr>
                <w:sz w:val="18"/>
                <w:rFonts w:ascii="Verdana" w:hAnsi="Verdana"/>
              </w:rPr>
              <w:t xml:space="preserve"> </w:t>
            </w:r>
            <w:r>
              <w:rPr>
                <w:sz w:val="18"/>
                <w:rFonts w:ascii="Verdana" w:hAnsi="Verdana"/>
              </w:rPr>
              <w:t xml:space="preserve">Përfundimet duhet të përqendrohen në veprimet penale dhe dispozitat procedurale dhe NJN të përdorura për analizën e rastit.</w:t>
            </w:r>
          </w:p>
          <w:p w14:paraId="74F9CA3C" w14:textId="68C56BA4" w:rsidR="0023008E" w:rsidRPr="00471328" w:rsidRDefault="00471328" w:rsidP="00471328">
            <w:pPr>
              <w:spacing w:before="20" w:after="120" w:line="280" w:lineRule="atLeast"/>
              <w:jc w:val="both"/>
              <w:rPr>
                <w:sz w:val="18"/>
                <w:szCs w:val="18"/>
                <w:rFonts w:ascii="Verdana" w:hAnsi="Verdana"/>
              </w:rPr>
            </w:pPr>
            <w:r>
              <w:rPr>
                <w:sz w:val="18"/>
                <w:rFonts w:ascii="Verdana" w:hAnsi="Verdana"/>
              </w:rPr>
              <w:t xml:space="preserve">Lënda nuk është gati për gjykatë.</w:t>
            </w:r>
          </w:p>
        </w:tc>
      </w:tr>
      <w:tr w:rsidR="00E72411" w:rsidRPr="00D82C18" w14:paraId="3A4D05A1" w14:textId="77777777" w:rsidTr="000F2415">
        <w:trPr>
          <w:trHeight w:val="1439"/>
        </w:trPr>
        <w:tc>
          <w:tcPr>
            <w:tcW w:w="1525" w:type="dxa"/>
            <w:vAlign w:val="center"/>
          </w:tcPr>
          <w:p w14:paraId="4B958B56" w14:textId="525B2C5C" w:rsidR="00E72411" w:rsidRDefault="00E72411" w:rsidP="00BD7897">
            <w:pPr>
              <w:spacing w:before="120" w:after="120" w:line="280" w:lineRule="exact"/>
              <w:jc w:val="center"/>
              <w:rPr>
                <w:sz w:val="18"/>
                <w:szCs w:val="18"/>
                <w:rFonts w:ascii="Verdana" w:hAnsi="Verdana"/>
              </w:rPr>
            </w:pPr>
            <w:r>
              <w:rPr>
                <w:sz w:val="18"/>
                <w:rFonts w:ascii="Verdana" w:hAnsi="Verdana"/>
              </w:rPr>
              <w:t xml:space="preserve">22</w:t>
            </w:r>
          </w:p>
        </w:tc>
        <w:tc>
          <w:tcPr>
            <w:tcW w:w="7485" w:type="dxa"/>
            <w:gridSpan w:val="2"/>
            <w:vAlign w:val="center"/>
          </w:tcPr>
          <w:p w14:paraId="1C21AF6F" w14:textId="77777777" w:rsidR="00E72411" w:rsidRDefault="00E72411" w:rsidP="00471328">
            <w:pPr>
              <w:pStyle w:val="Subtitle"/>
              <w:rPr>
                <w:szCs w:val="18"/>
                <w:rFonts w:ascii="Verdana" w:eastAsia="Times New Roman" w:hAnsi="Verdana"/>
              </w:rPr>
            </w:pPr>
            <w:r>
              <w:rPr>
                <w:rFonts w:ascii="Verdana" w:hAnsi="Verdana"/>
              </w:rPr>
              <w:t xml:space="preserve">Ky slajd përfaqëson pyetje dhe përgjigje specifike të Grupit 1 në lidhje me rastin studimor.</w:t>
            </w:r>
          </w:p>
          <w:p w14:paraId="5F1D2098" w14:textId="77777777" w:rsidR="00E72411" w:rsidRPr="00E72411" w:rsidRDefault="00E72411" w:rsidP="00E72411">
            <w:pPr>
              <w:spacing w:before="20" w:after="120" w:line="280" w:lineRule="atLeast"/>
              <w:jc w:val="both"/>
              <w:rPr>
                <w:sz w:val="18"/>
                <w:szCs w:val="18"/>
                <w:rFonts w:ascii="Verdana" w:hAnsi="Verdana"/>
              </w:rPr>
            </w:pPr>
            <w:r>
              <w:rPr>
                <w:sz w:val="18"/>
                <w:rFonts w:ascii="Verdana" w:hAnsi="Verdana"/>
              </w:rPr>
              <w:t xml:space="preserve">Përgjigjet:</w:t>
            </w:r>
          </w:p>
          <w:p w14:paraId="7B784540" w14:textId="77777777" w:rsidR="00E72411" w:rsidRPr="00E72411" w:rsidRDefault="00E72411" w:rsidP="00E72411">
            <w:pPr>
              <w:pStyle w:val="ListParagraph"/>
              <w:numPr>
                <w:ilvl w:val="0"/>
                <w:numId w:val="26"/>
              </w:numPr>
              <w:spacing w:before="20" w:after="120" w:line="280" w:lineRule="atLeast"/>
              <w:jc w:val="both"/>
              <w:rPr>
                <w:sz w:val="18"/>
                <w:szCs w:val="18"/>
                <w:rFonts w:ascii="Verdana" w:hAnsi="Verdana"/>
              </w:rPr>
            </w:pPr>
            <w:r>
              <w:rPr>
                <w:sz w:val="18"/>
                <w:rFonts w:ascii="Verdana" w:hAnsi="Verdana"/>
              </w:rPr>
              <w:t xml:space="preserve">nëse nuk ka regjim të mbajtjes, neni 16 i ndjekur nga neni 18.</w:t>
            </w:r>
            <w:r>
              <w:rPr>
                <w:sz w:val="18"/>
                <w:rFonts w:ascii="Verdana" w:hAnsi="Verdana"/>
              </w:rPr>
              <w:t xml:space="preserve"> </w:t>
            </w:r>
            <w:r>
              <w:rPr>
                <w:sz w:val="18"/>
                <w:rFonts w:ascii="Verdana" w:hAnsi="Verdana"/>
              </w:rPr>
              <w:t xml:space="preserve">Nëse ekziston ruajtja, neni 18 i Rrjetit të Mediave Sociale në lidhje me të dhënat e përmbajtjes.</w:t>
            </w:r>
            <w:r>
              <w:rPr>
                <w:sz w:val="18"/>
                <w:rFonts w:ascii="Verdana" w:hAnsi="Verdana"/>
              </w:rPr>
              <w:t xml:space="preserve"> </w:t>
            </w:r>
            <w:r>
              <w:rPr>
                <w:sz w:val="18"/>
                <w:rFonts w:ascii="Verdana" w:hAnsi="Verdana"/>
              </w:rPr>
              <w:t xml:space="preserve">Kontakti me Brand HQ në lidhje me lojën;</w:t>
            </w:r>
          </w:p>
          <w:p w14:paraId="5005A6E1" w14:textId="0375CF75" w:rsidR="00E72411" w:rsidRPr="00E72411" w:rsidRDefault="00E72411" w:rsidP="00E72411">
            <w:pPr>
              <w:pStyle w:val="ListParagraph"/>
              <w:numPr>
                <w:ilvl w:val="0"/>
                <w:numId w:val="26"/>
              </w:numPr>
              <w:spacing w:before="20" w:after="120" w:line="280" w:lineRule="atLeast"/>
              <w:jc w:val="both"/>
              <w:rPr>
                <w:sz w:val="18"/>
                <w:szCs w:val="18"/>
                <w:rFonts w:ascii="Verdana" w:hAnsi="Verdana"/>
              </w:rPr>
            </w:pPr>
            <w:r>
              <w:rPr>
                <w:sz w:val="18"/>
                <w:rFonts w:ascii="Verdana" w:hAnsi="Verdana"/>
              </w:rPr>
              <w:t xml:space="preserve">nëse nuk ka regjim të mbajtjes, neni 16 i ndjekur nga neni 18.</w:t>
            </w:r>
            <w:r>
              <w:rPr>
                <w:sz w:val="18"/>
                <w:rFonts w:ascii="Verdana" w:hAnsi="Verdana"/>
              </w:rPr>
              <w:t xml:space="preserve"> </w:t>
            </w:r>
            <w:r>
              <w:rPr>
                <w:sz w:val="18"/>
                <w:rFonts w:ascii="Verdana" w:hAnsi="Verdana"/>
              </w:rPr>
              <w:t xml:space="preserve">Nëse ekziston ruajtja, neni 18 i Rrjetit të Mediave Sociale në lidhje me të dhënat bazike të abonuesit.</w:t>
            </w:r>
          </w:p>
          <w:p w14:paraId="03DFDEAF" w14:textId="77777777" w:rsidR="00E72411" w:rsidRPr="00E72411" w:rsidRDefault="00E72411" w:rsidP="00E72411">
            <w:pPr>
              <w:pStyle w:val="ListParagraph"/>
              <w:numPr>
                <w:ilvl w:val="0"/>
                <w:numId w:val="26"/>
              </w:numPr>
              <w:spacing w:before="20" w:after="120" w:line="280" w:lineRule="atLeast"/>
              <w:jc w:val="both"/>
              <w:rPr>
                <w:sz w:val="18"/>
                <w:szCs w:val="18"/>
                <w:rFonts w:ascii="Verdana" w:hAnsi="Verdana"/>
              </w:rPr>
            </w:pPr>
            <w:r>
              <w:rPr>
                <w:sz w:val="18"/>
                <w:rFonts w:ascii="Verdana" w:hAnsi="Verdana"/>
              </w:rPr>
              <w:t xml:space="preserve">dëgjimi i dëshmitarëve dhe çeqet e llogarisë bankare;</w:t>
            </w:r>
          </w:p>
          <w:p w14:paraId="3E6E83FD" w14:textId="77777777" w:rsidR="00E72411" w:rsidRPr="00E72411" w:rsidRDefault="00E72411" w:rsidP="00E72411">
            <w:pPr>
              <w:pStyle w:val="ListParagraph"/>
              <w:numPr>
                <w:ilvl w:val="0"/>
                <w:numId w:val="26"/>
              </w:numPr>
              <w:spacing w:before="20" w:after="120" w:line="280" w:lineRule="atLeast"/>
              <w:jc w:val="both"/>
              <w:rPr>
                <w:sz w:val="18"/>
                <w:szCs w:val="18"/>
                <w:rFonts w:ascii="Verdana" w:hAnsi="Verdana"/>
              </w:rPr>
            </w:pPr>
            <w:r>
              <w:rPr>
                <w:sz w:val="18"/>
                <w:rFonts w:ascii="Verdana" w:hAnsi="Verdana"/>
              </w:rPr>
              <w:t xml:space="preserve">Neni 8;</w:t>
            </w:r>
          </w:p>
          <w:p w14:paraId="430F3ABC" w14:textId="513B203C" w:rsidR="00E72411" w:rsidRPr="00D46C6A" w:rsidRDefault="00E72411" w:rsidP="00E72411">
            <w:pPr>
              <w:pStyle w:val="ListParagraph"/>
              <w:numPr>
                <w:ilvl w:val="0"/>
                <w:numId w:val="26"/>
              </w:numPr>
              <w:spacing w:before="20" w:after="120" w:line="280" w:lineRule="atLeast"/>
              <w:jc w:val="both"/>
              <w:rPr>
                <w:sz w:val="18"/>
                <w:szCs w:val="18"/>
                <w:rFonts w:ascii="Verdana" w:hAnsi="Verdana"/>
              </w:rPr>
            </w:pPr>
            <w:r>
              <w:rPr>
                <w:sz w:val="18"/>
                <w:rFonts w:ascii="Verdana" w:hAnsi="Verdana"/>
              </w:rPr>
              <w:t xml:space="preserve">identifikimi i personave që administrojnë faqet fituese të çmimeve dhe marrjen në pyetje të tyre.</w:t>
            </w:r>
          </w:p>
        </w:tc>
      </w:tr>
      <w:tr w:rsidR="00E72411" w:rsidRPr="00D82C18" w14:paraId="4451A4C7" w14:textId="77777777" w:rsidTr="000F2415">
        <w:trPr>
          <w:trHeight w:val="1439"/>
        </w:trPr>
        <w:tc>
          <w:tcPr>
            <w:tcW w:w="1525" w:type="dxa"/>
            <w:vAlign w:val="center"/>
          </w:tcPr>
          <w:p w14:paraId="7AF5BB6C" w14:textId="37ED155D" w:rsidR="00E72411" w:rsidRDefault="00E72411" w:rsidP="00BD7897">
            <w:pPr>
              <w:spacing w:before="120" w:after="120" w:line="280" w:lineRule="exact"/>
              <w:jc w:val="center"/>
              <w:rPr>
                <w:sz w:val="18"/>
                <w:szCs w:val="18"/>
                <w:rFonts w:ascii="Verdana" w:hAnsi="Verdana"/>
              </w:rPr>
            </w:pPr>
            <w:r>
              <w:rPr>
                <w:sz w:val="18"/>
                <w:rFonts w:ascii="Verdana" w:hAnsi="Verdana"/>
              </w:rPr>
              <w:t xml:space="preserve">23</w:t>
            </w:r>
          </w:p>
        </w:tc>
        <w:tc>
          <w:tcPr>
            <w:tcW w:w="7485" w:type="dxa"/>
            <w:gridSpan w:val="2"/>
            <w:vAlign w:val="center"/>
          </w:tcPr>
          <w:p w14:paraId="1D597185" w14:textId="55862361" w:rsidR="00E72411" w:rsidRDefault="00E72411" w:rsidP="00E72411">
            <w:pPr>
              <w:pStyle w:val="Subtitle"/>
              <w:rPr>
                <w:szCs w:val="18"/>
                <w:rFonts w:ascii="Verdana" w:eastAsia="Times New Roman" w:hAnsi="Verdana"/>
              </w:rPr>
            </w:pPr>
            <w:r>
              <w:rPr>
                <w:rFonts w:ascii="Verdana" w:hAnsi="Verdana"/>
              </w:rPr>
              <w:t xml:space="preserve">Ky slajd përfaqëson pyetje dhe përgjigje specifike të Grupit 2 në lidhje me rastin studimor.</w:t>
            </w:r>
          </w:p>
          <w:p w14:paraId="553E9CDB" w14:textId="77777777" w:rsidR="00E72411" w:rsidRPr="00E72411" w:rsidRDefault="00E72411" w:rsidP="00E72411">
            <w:pPr>
              <w:spacing w:before="20" w:after="120" w:line="280" w:lineRule="atLeast"/>
              <w:jc w:val="both"/>
              <w:rPr>
                <w:sz w:val="18"/>
                <w:szCs w:val="18"/>
                <w:rFonts w:ascii="Verdana" w:hAnsi="Verdana"/>
              </w:rPr>
            </w:pPr>
            <w:r>
              <w:rPr>
                <w:sz w:val="18"/>
                <w:rFonts w:ascii="Verdana" w:hAnsi="Verdana"/>
              </w:rPr>
              <w:t xml:space="preserve">Përgjigjet:</w:t>
            </w:r>
          </w:p>
          <w:p w14:paraId="5E147179"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nëse nuk ka regjim të mbajtjes, neni 16 i ndjekur nga neni 18.</w:t>
            </w:r>
            <w:r>
              <w:rPr>
                <w:sz w:val="18"/>
                <w:rFonts w:ascii="Verdana" w:hAnsi="Verdana"/>
              </w:rPr>
              <w:t xml:space="preserve"> </w:t>
            </w:r>
            <w:r>
              <w:rPr>
                <w:sz w:val="18"/>
                <w:rFonts w:ascii="Verdana" w:hAnsi="Verdana"/>
              </w:rPr>
              <w:t xml:space="preserve">Nëse ekziston ruajtja, neni 18 për ISP-të lidhur me informacionin bazë të abonuesit, trafikun dhe të dhënat e përmbajtjes;</w:t>
            </w:r>
          </w:p>
          <w:p w14:paraId="515208B8"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Adresat IP të përdorura nga administratori i kanaleve, regjistrat e aktiviteteve të administratës, regjistrat e aktiviteteve të përdoruesve në lidhje me shkëmbimin e të dhënave personale, prova tjera në lidhje me rrjedhën e parave dhe komunikimin;</w:t>
            </w:r>
          </w:p>
          <w:p w14:paraId="53256BE9"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Adresat IP të marra sipas neneve 16 dhe 18 do të lidhen me abonuesit e ISP-së dhe kontratat e tyre të abonuesve;</w:t>
            </w:r>
          </w:p>
          <w:p w14:paraId="5DA9A727"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Neni 19 për kompjuterët në posedim të të dyshuarve, marrjen në pyetje të të dyshuarve, deklaratat e përfaqësuesve të ISP-së dhe marrjes së të dhënave shtesë të lidhura me të mëparshmin, identifikimin e ofruesit të shërbimit host për Dark Market në Vendin A, në varësi të rrugës që pjesëmarrësit marrin në lidhje me ofruesin e Dark Market (a është ekzistenca e tij e njohur nga ofruesi ose jo), nenet 16, 18 dhe 19, analiza e regjistrit të shkëmbimit ndërmjet shitësve dhe blerësve të të dhënave personale dhe prova shtesë në lidhje me këtë.</w:t>
            </w:r>
            <w:r>
              <w:rPr>
                <w:sz w:val="18"/>
                <w:rFonts w:ascii="Verdana" w:hAnsi="Verdana"/>
              </w:rPr>
              <w:t xml:space="preserve"> </w:t>
            </w:r>
            <w:r>
              <w:rPr>
                <w:sz w:val="18"/>
                <w:rFonts w:ascii="Verdana" w:hAnsi="Verdana"/>
              </w:rPr>
              <w:t xml:space="preserve">Nenet 20 dhe 21 mund të përdoren për mbledhjen e të dhënave dhe përgjimin e të dhënave ndërmjet shitësve privatë të të dhënave dhe blerësve me kusht që të identifikohen adresat e tyre IP;</w:t>
            </w:r>
          </w:p>
          <w:p w14:paraId="507E7762"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Zbatimi i nenit 19 për kompjuterët e dyshuar tregoi praninë e kontrolluesit për malware-in trojan të instaluar në disa kompjuterë të markës duke mundësuar hyrjen në kanalet origjinale;</w:t>
            </w:r>
          </w:p>
          <w:p w14:paraId="1EB6B9E1" w14:textId="77777777" w:rsidR="00E72411" w:rsidRPr="00E72411" w:rsidRDefault="00E72411" w:rsidP="00E72411">
            <w:pPr>
              <w:numPr>
                <w:ilvl w:val="0"/>
                <w:numId w:val="28"/>
              </w:numPr>
              <w:spacing w:before="20" w:after="120" w:line="280" w:lineRule="atLeast"/>
              <w:jc w:val="both"/>
              <w:rPr>
                <w:sz w:val="18"/>
                <w:szCs w:val="18"/>
                <w:rFonts w:ascii="Verdana" w:hAnsi="Verdana"/>
              </w:rPr>
            </w:pPr>
            <w:r>
              <w:rPr>
                <w:sz w:val="18"/>
                <w:rFonts w:ascii="Verdana" w:hAnsi="Verdana"/>
              </w:rPr>
              <w:t xml:space="preserve">nga provat elektronike të fituara përmes përdorimit të nenit 19 në shitësit e të dhënave privatë dhe kompjuterët e blerësve të cilët do të tregojnë të dhënat bankare dhe portofolin e kriptomonedhës;</w:t>
            </w:r>
          </w:p>
          <w:p w14:paraId="40241BF7" w14:textId="0526275D" w:rsidR="00E72411" w:rsidRPr="00E72411" w:rsidRDefault="00E72411" w:rsidP="00471328">
            <w:pPr>
              <w:numPr>
                <w:ilvl w:val="0"/>
                <w:numId w:val="28"/>
              </w:numPr>
              <w:spacing w:before="20" w:after="120" w:line="280" w:lineRule="atLeast"/>
              <w:jc w:val="both"/>
              <w:rPr>
                <w:sz w:val="18"/>
                <w:szCs w:val="18"/>
                <w:rFonts w:ascii="Verdana" w:hAnsi="Verdana"/>
              </w:rPr>
            </w:pPr>
            <w:r>
              <w:rPr>
                <w:sz w:val="18"/>
                <w:rFonts w:ascii="Verdana" w:hAnsi="Verdana"/>
              </w:rPr>
              <w:t xml:space="preserve">Nenet 2 dhe 4 për qasjen dhe ndryshimin e kanaleve origjinale të mediave sociale, nenet 7 dhe 10 në lidhje me abuzimin e lojës fituese të çmimeve në emër të Markës dhe përdorimin e logos së Markave dhe elementeve tjera të IPR-së</w:t>
            </w:r>
          </w:p>
        </w:tc>
      </w:tr>
      <w:tr w:rsidR="00E72411" w:rsidRPr="00D82C18" w14:paraId="547FABF7" w14:textId="77777777" w:rsidTr="000F2415">
        <w:trPr>
          <w:trHeight w:val="1439"/>
        </w:trPr>
        <w:tc>
          <w:tcPr>
            <w:tcW w:w="1525" w:type="dxa"/>
            <w:vAlign w:val="center"/>
          </w:tcPr>
          <w:p w14:paraId="7D98FC54" w14:textId="15951028" w:rsidR="00E72411" w:rsidRDefault="00E72411" w:rsidP="00BD7897">
            <w:pPr>
              <w:spacing w:before="120" w:after="120" w:line="280" w:lineRule="exact"/>
              <w:jc w:val="center"/>
              <w:rPr>
                <w:sz w:val="18"/>
                <w:szCs w:val="18"/>
                <w:rFonts w:ascii="Verdana" w:hAnsi="Verdana"/>
              </w:rPr>
            </w:pPr>
            <w:r>
              <w:rPr>
                <w:sz w:val="18"/>
                <w:rFonts w:ascii="Verdana" w:hAnsi="Verdana"/>
              </w:rPr>
              <w:t xml:space="preserve">24</w:t>
            </w:r>
          </w:p>
        </w:tc>
        <w:tc>
          <w:tcPr>
            <w:tcW w:w="7485" w:type="dxa"/>
            <w:gridSpan w:val="2"/>
            <w:vAlign w:val="center"/>
          </w:tcPr>
          <w:p w14:paraId="27EF0373" w14:textId="18F71EE7" w:rsidR="00E72411" w:rsidRDefault="00E72411" w:rsidP="00E72411">
            <w:pPr>
              <w:pStyle w:val="Subtitle"/>
              <w:rPr>
                <w:szCs w:val="18"/>
                <w:rFonts w:ascii="Verdana" w:eastAsia="Times New Roman" w:hAnsi="Verdana"/>
              </w:rPr>
            </w:pPr>
            <w:r>
              <w:rPr>
                <w:rFonts w:ascii="Verdana" w:hAnsi="Verdana"/>
              </w:rPr>
              <w:t xml:space="preserve">Ky slajd përfaqëson pyetje dhe përgjigje specifike të Grupit 3 në lidhje me rastin studimor.</w:t>
            </w:r>
          </w:p>
          <w:p w14:paraId="32720932" w14:textId="77777777" w:rsidR="00E72411" w:rsidRPr="00E72411" w:rsidRDefault="00E72411" w:rsidP="00E72411">
            <w:pPr>
              <w:pStyle w:val="Subtitle"/>
              <w:rPr>
                <w:szCs w:val="18"/>
                <w:rFonts w:ascii="Verdana" w:eastAsia="Times New Roman" w:hAnsi="Verdana"/>
              </w:rPr>
            </w:pPr>
            <w:r>
              <w:rPr>
                <w:rFonts w:ascii="Verdana" w:hAnsi="Verdana"/>
              </w:rPr>
              <w:t xml:space="preserve">Përgjigjet:</w:t>
            </w:r>
          </w:p>
          <w:p w14:paraId="5BD78BB1" w14:textId="17AE68FE" w:rsidR="00E72411" w:rsidRPr="00E72411" w:rsidRDefault="00E72411" w:rsidP="00E72411">
            <w:pPr>
              <w:pStyle w:val="Subtitle"/>
              <w:numPr>
                <w:ilvl w:val="0"/>
                <w:numId w:val="31"/>
              </w:numPr>
              <w:rPr>
                <w:szCs w:val="18"/>
                <w:rFonts w:ascii="Verdana" w:eastAsia="Times New Roman" w:hAnsi="Verdana"/>
              </w:rPr>
            </w:pPr>
            <w:r>
              <w:rPr>
                <w:rFonts w:ascii="Verdana" w:hAnsi="Verdana"/>
              </w:rPr>
              <w:t xml:space="preserve">regjistrimet e kredencialeve dhe transaksionet e parave;</w:t>
            </w:r>
          </w:p>
          <w:p w14:paraId="7716FEE8" w14:textId="77777777" w:rsidR="00E72411" w:rsidRPr="00E72411" w:rsidRDefault="00E72411" w:rsidP="00E72411">
            <w:pPr>
              <w:pStyle w:val="Subtitle"/>
              <w:numPr>
                <w:ilvl w:val="0"/>
                <w:numId w:val="31"/>
              </w:numPr>
              <w:rPr>
                <w:szCs w:val="18"/>
                <w:rFonts w:ascii="Verdana" w:eastAsia="Times New Roman" w:hAnsi="Verdana"/>
              </w:rPr>
            </w:pPr>
            <w:r>
              <w:rPr>
                <w:rFonts w:ascii="Verdana" w:hAnsi="Verdana"/>
              </w:rPr>
              <w:t xml:space="preserve">po, kompania e pagesave on-line (OLPC) në Vendin B mbështet bashkëpunimin vullnetar, kështu që kërkesa për të duhet të dërgohet nga autoritetet e Vendit A në përputhje me rregullat e kompanisë;</w:t>
            </w:r>
          </w:p>
          <w:p w14:paraId="483E02EA" w14:textId="77777777" w:rsidR="00E72411" w:rsidRPr="00E72411" w:rsidRDefault="00E72411" w:rsidP="00E72411">
            <w:pPr>
              <w:pStyle w:val="Subtitle"/>
              <w:numPr>
                <w:ilvl w:val="0"/>
                <w:numId w:val="31"/>
              </w:numPr>
              <w:rPr>
                <w:szCs w:val="18"/>
                <w:rFonts w:ascii="Verdana" w:eastAsia="Times New Roman" w:hAnsi="Verdana"/>
              </w:rPr>
            </w:pPr>
            <w:r>
              <w:rPr>
                <w:rFonts w:ascii="Verdana" w:hAnsi="Verdana"/>
              </w:rPr>
              <w:t xml:space="preserve">Nenet 29 dhe 31 për OLPC në lidhje me llogaritë e përdoruesve, neni 30 në lidhje me të dhënat në lidhje me komunikimin me kompaninë e basteve on-line të Vendit C (OLBC)</w:t>
            </w:r>
          </w:p>
          <w:p w14:paraId="0E02B5EF" w14:textId="77777777" w:rsidR="00E72411" w:rsidRPr="00E72411" w:rsidRDefault="00E72411" w:rsidP="00E72411">
            <w:pPr>
              <w:pStyle w:val="Subtitle"/>
              <w:numPr>
                <w:ilvl w:val="0"/>
                <w:numId w:val="31"/>
              </w:numPr>
              <w:rPr>
                <w:szCs w:val="18"/>
                <w:rFonts w:ascii="Verdana" w:eastAsia="Times New Roman" w:hAnsi="Verdana"/>
              </w:rPr>
            </w:pPr>
            <w:r>
              <w:rPr>
                <w:rFonts w:ascii="Verdana" w:hAnsi="Verdana"/>
              </w:rPr>
              <w:t xml:space="preserve">Nenet 29 dhe 31 duhet të përgatiten për Vendin C, pasi ai nuk mbështet bashkëpunimin vullnetar, ndërsa neni 26 mund të përdoret për shkëmbimin e shpejtë të informacionit ndërmjet AZL-ve'</w:t>
            </w:r>
          </w:p>
          <w:p w14:paraId="71152D81" w14:textId="286035A8" w:rsidR="00E72411" w:rsidRPr="00E72411" w:rsidRDefault="00E72411" w:rsidP="00E72411">
            <w:pPr>
              <w:pStyle w:val="Subtitle"/>
              <w:numPr>
                <w:ilvl w:val="0"/>
                <w:numId w:val="31"/>
              </w:numPr>
              <w:rPr>
                <w:szCs w:val="18"/>
                <w:rFonts w:ascii="Verdana" w:eastAsia="Times New Roman" w:hAnsi="Verdana"/>
              </w:rPr>
            </w:pPr>
            <w:r>
              <w:rPr>
                <w:rFonts w:ascii="Verdana" w:hAnsi="Verdana"/>
              </w:rPr>
              <w:t xml:space="preserve">Vendet A, B dhe C mund të organizojnë së bashku zbatimin e neneve 33 dhe 34 ndërmjet përdoruesve të Vendit A të llogarive të Vendit B OLPC dhe Vendit OLBC</w:t>
            </w:r>
          </w:p>
        </w:tc>
      </w:tr>
      <w:tr w:rsidR="00E72411" w:rsidRPr="00D82C18" w14:paraId="4D96F893" w14:textId="77777777" w:rsidTr="000F2415">
        <w:trPr>
          <w:trHeight w:val="1439"/>
        </w:trPr>
        <w:tc>
          <w:tcPr>
            <w:tcW w:w="1525" w:type="dxa"/>
            <w:vAlign w:val="center"/>
          </w:tcPr>
          <w:p w14:paraId="18140A3B" w14:textId="0DF383C0" w:rsidR="00E72411" w:rsidRDefault="00E72411" w:rsidP="00BD7897">
            <w:pPr>
              <w:spacing w:before="120" w:after="120" w:line="280" w:lineRule="exact"/>
              <w:jc w:val="center"/>
              <w:rPr>
                <w:sz w:val="18"/>
                <w:szCs w:val="18"/>
                <w:rFonts w:ascii="Verdana" w:hAnsi="Verdana"/>
              </w:rPr>
            </w:pPr>
            <w:r>
              <w:rPr>
                <w:sz w:val="18"/>
                <w:rFonts w:ascii="Verdana" w:hAnsi="Verdana"/>
              </w:rPr>
              <w:t xml:space="preserve">25</w:t>
            </w:r>
          </w:p>
        </w:tc>
        <w:tc>
          <w:tcPr>
            <w:tcW w:w="7485" w:type="dxa"/>
            <w:gridSpan w:val="2"/>
            <w:vAlign w:val="center"/>
          </w:tcPr>
          <w:p w14:paraId="6EFD69AC" w14:textId="514C0F43" w:rsidR="00E72411" w:rsidRDefault="00E72411" w:rsidP="00E72411">
            <w:pPr>
              <w:pStyle w:val="Subtitle"/>
              <w:rPr>
                <w:szCs w:val="18"/>
                <w:rFonts w:ascii="Verdana" w:eastAsia="Times New Roman" w:hAnsi="Verdana"/>
              </w:rPr>
            </w:pPr>
            <w:r>
              <w:rPr>
                <w:rFonts w:ascii="Verdana" w:hAnsi="Verdana"/>
              </w:rPr>
              <w:t xml:space="preserve">Ky slajd përfaqëson pyetje dhe përgjigje specifike të Grupit 4 në lidhje me rastin studimor.</w:t>
            </w:r>
          </w:p>
          <w:p w14:paraId="53FA419F" w14:textId="77777777" w:rsidR="00E72411" w:rsidRPr="00E72411" w:rsidRDefault="00E72411" w:rsidP="00E72411">
            <w:pPr>
              <w:spacing w:before="20" w:after="120" w:line="280" w:lineRule="atLeast"/>
              <w:jc w:val="both"/>
              <w:rPr>
                <w:sz w:val="18"/>
                <w:szCs w:val="18"/>
                <w:rFonts w:ascii="Verdana" w:hAnsi="Verdana"/>
              </w:rPr>
            </w:pPr>
            <w:r>
              <w:rPr>
                <w:sz w:val="18"/>
                <w:rFonts w:ascii="Verdana" w:hAnsi="Verdana"/>
              </w:rPr>
              <w:t xml:space="preserve">Përgjigjet:</w:t>
            </w:r>
          </w:p>
          <w:p w14:paraId="42B448BA" w14:textId="77777777"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Pronari dhe përdorimi i llogarisë OLPC, regjistrat e transaksioneve, regjistrat IP në lidhje me komunikimin me llogaritë OLBC, regjistrat IP në lidhje me komunikimin me bankat e Vendit A, nenet 29, 30 dhe 31 në lidhje me rrjedhën e mëparshme të të dhënave dhe shkëmbimin e tyre;</w:t>
            </w:r>
          </w:p>
          <w:p w14:paraId="1956EADA" w14:textId="77777777"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po, pasi që OLPC miraton bashkëpunimin vullnetar, kështu që para zbatimit të neneve mund të kërkohet BSI dhe disa të dhëna të trafikut;</w:t>
            </w:r>
          </w:p>
          <w:p w14:paraId="367C7A86" w14:textId="77777777"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Vendi A tani do të përqendrohet në personat që marrin pagesa në llogaritë e tyre bankare;</w:t>
            </w:r>
          </w:p>
          <w:p w14:paraId="60752B8A" w14:textId="77777777"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Vendi A tani kthehet në nenet 16, 18 dhe 19 në lidhje me porositjen e transfertave të parave nga OLPC në bankat lokale, dhe nëse është e nevojshme nenet 20 dhe 21 mund të përdoren për trafikun dhe të dhënat e përmbajtjes ndërmjet fajtorëve kryesorë dhe mushkave të parave;</w:t>
            </w:r>
          </w:p>
          <w:p w14:paraId="0A142434" w14:textId="77777777"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për nenet 16 dhe 18 të mediave sociale për rishikimin e BSI-së së mëparshme, për nenet 20 dhe 21 të VOIP;</w:t>
            </w:r>
          </w:p>
          <w:p w14:paraId="53D92CC2" w14:textId="3F047F3F" w:rsidR="00E72411" w:rsidRPr="00E72411" w:rsidRDefault="00E72411" w:rsidP="00E72411">
            <w:pPr>
              <w:pStyle w:val="ListParagraph"/>
              <w:numPr>
                <w:ilvl w:val="0"/>
                <w:numId w:val="33"/>
              </w:numPr>
              <w:spacing w:before="20" w:after="120" w:line="280" w:lineRule="atLeast"/>
              <w:jc w:val="both"/>
              <w:rPr>
                <w:sz w:val="18"/>
                <w:szCs w:val="18"/>
                <w:rFonts w:ascii="Verdana" w:hAnsi="Verdana"/>
              </w:rPr>
            </w:pPr>
            <w:r>
              <w:rPr>
                <w:sz w:val="18"/>
                <w:rFonts w:ascii="Verdana" w:hAnsi="Verdana"/>
              </w:rPr>
              <w:t xml:space="preserve">Studimi i Rastit ka fund të hapur, neni 26 duhet të përdoret dhe nëse pjesëmarrësit duan të kërkojnë arrestimin e të dyshuarit kryesor në Vendin E dhe ekstradimin mund të përdoret neni 24.</w:t>
            </w:r>
          </w:p>
        </w:tc>
      </w:tr>
      <w:tr w:rsidR="00E72411" w:rsidRPr="00D82C18" w14:paraId="472412CA" w14:textId="77777777" w:rsidTr="000F2415">
        <w:trPr>
          <w:trHeight w:val="1439"/>
        </w:trPr>
        <w:tc>
          <w:tcPr>
            <w:tcW w:w="1525" w:type="dxa"/>
            <w:vAlign w:val="center"/>
          </w:tcPr>
          <w:p w14:paraId="22947A4A" w14:textId="3648625E" w:rsidR="00E72411" w:rsidRDefault="00E72411" w:rsidP="00BD7897">
            <w:pPr>
              <w:spacing w:before="120" w:after="120" w:line="280" w:lineRule="exact"/>
              <w:jc w:val="center"/>
              <w:rPr>
                <w:sz w:val="18"/>
                <w:szCs w:val="18"/>
                <w:rFonts w:ascii="Verdana" w:hAnsi="Verdana"/>
              </w:rPr>
            </w:pPr>
            <w:r>
              <w:rPr>
                <w:sz w:val="18"/>
                <w:rFonts w:ascii="Verdana" w:hAnsi="Verdana"/>
              </w:rPr>
              <w:t xml:space="preserve">28 deri 31</w:t>
            </w:r>
          </w:p>
        </w:tc>
        <w:tc>
          <w:tcPr>
            <w:tcW w:w="7485" w:type="dxa"/>
            <w:gridSpan w:val="2"/>
            <w:vAlign w:val="center"/>
          </w:tcPr>
          <w:p w14:paraId="35242820" w14:textId="7F18ADBA" w:rsidR="00E72411" w:rsidRDefault="00E72411" w:rsidP="00E72411">
            <w:pPr>
              <w:pStyle w:val="Subtitle"/>
              <w:rPr>
                <w:szCs w:val="18"/>
                <w:rFonts w:ascii="Verdana" w:eastAsia="Times New Roman" w:hAnsi="Verdana"/>
              </w:rPr>
            </w:pPr>
            <w:r>
              <w:rPr>
                <w:rFonts w:ascii="Verdana" w:hAnsi="Verdana"/>
              </w:rPr>
              <w:t xml:space="preserve">Slajdet që prezantojnë dhe përcjellin raportimin në grup.</w:t>
            </w:r>
          </w:p>
        </w:tc>
      </w:tr>
      <w:tr w:rsidR="005F709E" w:rsidRPr="00D82C18" w14:paraId="1918B48F" w14:textId="77777777" w:rsidTr="00F1574D">
        <w:trPr>
          <w:trHeight w:val="1313"/>
        </w:trPr>
        <w:tc>
          <w:tcPr>
            <w:tcW w:w="1525" w:type="dxa"/>
            <w:vAlign w:val="center"/>
          </w:tcPr>
          <w:p w14:paraId="224BC13F" w14:textId="16E5F8A5" w:rsidR="005F709E" w:rsidRDefault="00E72411" w:rsidP="00F1574D">
            <w:pPr>
              <w:spacing w:before="120" w:after="120" w:line="280" w:lineRule="exact"/>
              <w:jc w:val="center"/>
              <w:rPr>
                <w:sz w:val="18"/>
                <w:szCs w:val="18"/>
                <w:rFonts w:ascii="Verdana" w:hAnsi="Verdana"/>
              </w:rPr>
            </w:pPr>
            <w:r>
              <w:rPr>
                <w:sz w:val="18"/>
                <w:rFonts w:ascii="Verdana" w:hAnsi="Verdana"/>
              </w:rPr>
              <w:t xml:space="preserve">31 deri 33s</w:t>
            </w:r>
          </w:p>
        </w:tc>
        <w:tc>
          <w:tcPr>
            <w:tcW w:w="7485" w:type="dxa"/>
            <w:gridSpan w:val="2"/>
            <w:vAlign w:val="center"/>
          </w:tcPr>
          <w:p w14:paraId="2E2377DE" w14:textId="77777777" w:rsidR="005F709E" w:rsidRDefault="005F709E" w:rsidP="005F709E">
            <w:pPr>
              <w:spacing w:after="120" w:line="280" w:lineRule="exact"/>
              <w:jc w:val="both"/>
              <w:rPr>
                <w:sz w:val="18"/>
                <w:szCs w:val="18"/>
                <w:rFonts w:ascii="Verdana" w:hAnsi="Verdana"/>
              </w:rPr>
            </w:pPr>
            <w:r>
              <w:rPr>
                <w:sz w:val="18"/>
                <w:rFonts w:ascii="Verdana" w:hAnsi="Verdana"/>
              </w:rPr>
              <w:t xml:space="preserve">Slajdet e fundit i lejojnë trajnerit të rishikojë objektivat e të nxënit me audiencën në mënyrë që ata të jenë të sigurt se janë arritur.</w:t>
            </w:r>
            <w:r>
              <w:rPr>
                <w:sz w:val="18"/>
                <w:rFonts w:ascii="Verdana" w:hAnsi="Verdana"/>
              </w:rPr>
              <w:t xml:space="preserve"> </w:t>
            </w:r>
            <w:r>
              <w:rPr>
                <w:sz w:val="18"/>
                <w:rFonts w:ascii="Verdana" w:hAnsi="Verdana"/>
              </w:rPr>
              <w:t xml:space="preserve">Është gjithashtu një mundësi për pjesëmarrësit të ngrenë çdo çështje që mund të mbetet e pazgjidhur ose kur ata nuk i kanë kuptuar plotësisht temat e paraqitura.</w:t>
            </w:r>
            <w:r>
              <w:rPr>
                <w:sz w:val="18"/>
                <w:rFonts w:ascii="Verdana" w:hAnsi="Verdana"/>
              </w:rPr>
              <w:t xml:space="preserve">  </w:t>
            </w:r>
          </w:p>
          <w:p w14:paraId="4F4159A3" w14:textId="21BA5D76" w:rsidR="005F709E" w:rsidRDefault="005F709E" w:rsidP="005F709E">
            <w:pPr>
              <w:spacing w:after="120" w:line="280" w:lineRule="exact"/>
              <w:jc w:val="both"/>
              <w:rPr>
                <w:sz w:val="18"/>
                <w:szCs w:val="18"/>
                <w:rFonts w:ascii="Verdana" w:hAnsi="Verdana"/>
              </w:rPr>
            </w:pPr>
            <w:r>
              <w:rPr>
                <w:sz w:val="18"/>
                <w:rFonts w:ascii="Verdana" w:hAnsi="Verdana"/>
              </w:rPr>
              <w:t xml:space="preserve">Për më tepër, trajneri mund të përdorë seancën për të kontrolluar njohuritë e marra duke bërë pyetje për pjesëmarrësit.</w:t>
            </w:r>
            <w:r>
              <w:rPr>
                <w:sz w:val="18"/>
                <w:rFonts w:ascii="Verdana" w:hAnsi="Verdana"/>
              </w:rPr>
              <w:t xml:space="preserve"> </w:t>
            </w:r>
            <w:r>
              <w:rPr>
                <w:sz w:val="18"/>
                <w:rFonts w:ascii="Verdana" w:hAnsi="Verdana"/>
              </w:rPr>
              <w:t xml:space="preserve">Kjo është e rëndësishme pasi nuk ka vlerësim zyrtar për kursin.</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Ushtrime praktike</w:t>
            </w:r>
          </w:p>
          <w:p w14:paraId="04D65D89" w14:textId="53B80CFD" w:rsidR="00CB3026" w:rsidRPr="00CB3026" w:rsidRDefault="00000C58" w:rsidP="00B3608C">
            <w:pPr>
              <w:spacing w:before="120" w:after="120" w:line="280" w:lineRule="exact"/>
              <w:rPr>
                <w:sz w:val="18"/>
                <w:szCs w:val="18"/>
                <w:rFonts w:ascii="Verdana" w:hAnsi="Verdana"/>
              </w:rPr>
            </w:pPr>
            <w:r>
              <w:rPr>
                <w:color w:val="000000" w:themeColor="text1"/>
                <w:sz w:val="18"/>
                <w:rFonts w:ascii="Verdana" w:hAnsi="Verdana"/>
              </w:rPr>
              <w:t xml:space="preserve">Studimi i rastit parashihet në këtë mësim.</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Vlerësimi/Kontrolli i njohurive</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rFonts w:ascii="Verdana" w:hAnsi="Verdana"/>
              </w:rPr>
              <w:t xml:space="preserve">Asnjë kontroll ose vlerësim i njohurive nuk është kërkuar për këtë seancë.</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F5490"/>
    <w:multiLevelType w:val="hybridMultilevel"/>
    <w:tmpl w:val="A170C0CA"/>
    <w:lvl w:ilvl="0" w:tplc="AB2AEBE8">
      <w:start w:val="1"/>
      <w:numFmt w:val="bullet"/>
      <w:lvlText w:val="-"/>
      <w:lvlJc w:val="left"/>
      <w:pPr>
        <w:tabs>
          <w:tab w:val="num" w:pos="720"/>
        </w:tabs>
        <w:ind w:left="720" w:hanging="360"/>
      </w:pPr>
      <w:rPr>
        <w:rFonts w:ascii="Times New Roman" w:hAnsi="Times New Roman" w:hint="default"/>
      </w:rPr>
    </w:lvl>
    <w:lvl w:ilvl="1" w:tplc="E44026C6" w:tentative="1">
      <w:start w:val="1"/>
      <w:numFmt w:val="bullet"/>
      <w:lvlText w:val="-"/>
      <w:lvlJc w:val="left"/>
      <w:pPr>
        <w:tabs>
          <w:tab w:val="num" w:pos="1440"/>
        </w:tabs>
        <w:ind w:left="1440" w:hanging="360"/>
      </w:pPr>
      <w:rPr>
        <w:rFonts w:ascii="Times New Roman" w:hAnsi="Times New Roman" w:hint="default"/>
      </w:rPr>
    </w:lvl>
    <w:lvl w:ilvl="2" w:tplc="ED0430EA" w:tentative="1">
      <w:start w:val="1"/>
      <w:numFmt w:val="bullet"/>
      <w:lvlText w:val="-"/>
      <w:lvlJc w:val="left"/>
      <w:pPr>
        <w:tabs>
          <w:tab w:val="num" w:pos="2160"/>
        </w:tabs>
        <w:ind w:left="2160" w:hanging="360"/>
      </w:pPr>
      <w:rPr>
        <w:rFonts w:ascii="Times New Roman" w:hAnsi="Times New Roman" w:hint="default"/>
      </w:rPr>
    </w:lvl>
    <w:lvl w:ilvl="3" w:tplc="E654E166" w:tentative="1">
      <w:start w:val="1"/>
      <w:numFmt w:val="bullet"/>
      <w:lvlText w:val="-"/>
      <w:lvlJc w:val="left"/>
      <w:pPr>
        <w:tabs>
          <w:tab w:val="num" w:pos="2880"/>
        </w:tabs>
        <w:ind w:left="2880" w:hanging="360"/>
      </w:pPr>
      <w:rPr>
        <w:rFonts w:ascii="Times New Roman" w:hAnsi="Times New Roman" w:hint="default"/>
      </w:rPr>
    </w:lvl>
    <w:lvl w:ilvl="4" w:tplc="958A46F0" w:tentative="1">
      <w:start w:val="1"/>
      <w:numFmt w:val="bullet"/>
      <w:lvlText w:val="-"/>
      <w:lvlJc w:val="left"/>
      <w:pPr>
        <w:tabs>
          <w:tab w:val="num" w:pos="3600"/>
        </w:tabs>
        <w:ind w:left="3600" w:hanging="360"/>
      </w:pPr>
      <w:rPr>
        <w:rFonts w:ascii="Times New Roman" w:hAnsi="Times New Roman" w:hint="default"/>
      </w:rPr>
    </w:lvl>
    <w:lvl w:ilvl="5" w:tplc="E9BC8BEC" w:tentative="1">
      <w:start w:val="1"/>
      <w:numFmt w:val="bullet"/>
      <w:lvlText w:val="-"/>
      <w:lvlJc w:val="left"/>
      <w:pPr>
        <w:tabs>
          <w:tab w:val="num" w:pos="4320"/>
        </w:tabs>
        <w:ind w:left="4320" w:hanging="360"/>
      </w:pPr>
      <w:rPr>
        <w:rFonts w:ascii="Times New Roman" w:hAnsi="Times New Roman" w:hint="default"/>
      </w:rPr>
    </w:lvl>
    <w:lvl w:ilvl="6" w:tplc="6270E690" w:tentative="1">
      <w:start w:val="1"/>
      <w:numFmt w:val="bullet"/>
      <w:lvlText w:val="-"/>
      <w:lvlJc w:val="left"/>
      <w:pPr>
        <w:tabs>
          <w:tab w:val="num" w:pos="5040"/>
        </w:tabs>
        <w:ind w:left="5040" w:hanging="360"/>
      </w:pPr>
      <w:rPr>
        <w:rFonts w:ascii="Times New Roman" w:hAnsi="Times New Roman" w:hint="default"/>
      </w:rPr>
    </w:lvl>
    <w:lvl w:ilvl="7" w:tplc="C76AC03C" w:tentative="1">
      <w:start w:val="1"/>
      <w:numFmt w:val="bullet"/>
      <w:lvlText w:val="-"/>
      <w:lvlJc w:val="left"/>
      <w:pPr>
        <w:tabs>
          <w:tab w:val="num" w:pos="5760"/>
        </w:tabs>
        <w:ind w:left="5760" w:hanging="360"/>
      </w:pPr>
      <w:rPr>
        <w:rFonts w:ascii="Times New Roman" w:hAnsi="Times New Roman" w:hint="default"/>
      </w:rPr>
    </w:lvl>
    <w:lvl w:ilvl="8" w:tplc="475E30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A6390"/>
    <w:multiLevelType w:val="hybridMultilevel"/>
    <w:tmpl w:val="CFB6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434E1"/>
    <w:multiLevelType w:val="hybridMultilevel"/>
    <w:tmpl w:val="BFA49E84"/>
    <w:lvl w:ilvl="0" w:tplc="DCAAE294">
      <w:start w:val="1"/>
      <w:numFmt w:val="bullet"/>
      <w:lvlText w:val="-"/>
      <w:lvlJc w:val="left"/>
      <w:pPr>
        <w:tabs>
          <w:tab w:val="num" w:pos="720"/>
        </w:tabs>
        <w:ind w:left="720" w:hanging="360"/>
      </w:pPr>
      <w:rPr>
        <w:rFonts w:ascii="Times New Roman" w:hAnsi="Times New Roman" w:hint="default"/>
      </w:rPr>
    </w:lvl>
    <w:lvl w:ilvl="1" w:tplc="DC52BACE" w:tentative="1">
      <w:start w:val="1"/>
      <w:numFmt w:val="bullet"/>
      <w:lvlText w:val="-"/>
      <w:lvlJc w:val="left"/>
      <w:pPr>
        <w:tabs>
          <w:tab w:val="num" w:pos="1440"/>
        </w:tabs>
        <w:ind w:left="1440" w:hanging="360"/>
      </w:pPr>
      <w:rPr>
        <w:rFonts w:ascii="Times New Roman" w:hAnsi="Times New Roman" w:hint="default"/>
      </w:rPr>
    </w:lvl>
    <w:lvl w:ilvl="2" w:tplc="0B04E81A" w:tentative="1">
      <w:start w:val="1"/>
      <w:numFmt w:val="bullet"/>
      <w:lvlText w:val="-"/>
      <w:lvlJc w:val="left"/>
      <w:pPr>
        <w:tabs>
          <w:tab w:val="num" w:pos="2160"/>
        </w:tabs>
        <w:ind w:left="2160" w:hanging="360"/>
      </w:pPr>
      <w:rPr>
        <w:rFonts w:ascii="Times New Roman" w:hAnsi="Times New Roman" w:hint="default"/>
      </w:rPr>
    </w:lvl>
    <w:lvl w:ilvl="3" w:tplc="ECB6C9C8" w:tentative="1">
      <w:start w:val="1"/>
      <w:numFmt w:val="bullet"/>
      <w:lvlText w:val="-"/>
      <w:lvlJc w:val="left"/>
      <w:pPr>
        <w:tabs>
          <w:tab w:val="num" w:pos="2880"/>
        </w:tabs>
        <w:ind w:left="2880" w:hanging="360"/>
      </w:pPr>
      <w:rPr>
        <w:rFonts w:ascii="Times New Roman" w:hAnsi="Times New Roman" w:hint="default"/>
      </w:rPr>
    </w:lvl>
    <w:lvl w:ilvl="4" w:tplc="A9CED6FA" w:tentative="1">
      <w:start w:val="1"/>
      <w:numFmt w:val="bullet"/>
      <w:lvlText w:val="-"/>
      <w:lvlJc w:val="left"/>
      <w:pPr>
        <w:tabs>
          <w:tab w:val="num" w:pos="3600"/>
        </w:tabs>
        <w:ind w:left="3600" w:hanging="360"/>
      </w:pPr>
      <w:rPr>
        <w:rFonts w:ascii="Times New Roman" w:hAnsi="Times New Roman" w:hint="default"/>
      </w:rPr>
    </w:lvl>
    <w:lvl w:ilvl="5" w:tplc="C9520A12" w:tentative="1">
      <w:start w:val="1"/>
      <w:numFmt w:val="bullet"/>
      <w:lvlText w:val="-"/>
      <w:lvlJc w:val="left"/>
      <w:pPr>
        <w:tabs>
          <w:tab w:val="num" w:pos="4320"/>
        </w:tabs>
        <w:ind w:left="4320" w:hanging="360"/>
      </w:pPr>
      <w:rPr>
        <w:rFonts w:ascii="Times New Roman" w:hAnsi="Times New Roman" w:hint="default"/>
      </w:rPr>
    </w:lvl>
    <w:lvl w:ilvl="6" w:tplc="BDB67F1C" w:tentative="1">
      <w:start w:val="1"/>
      <w:numFmt w:val="bullet"/>
      <w:lvlText w:val="-"/>
      <w:lvlJc w:val="left"/>
      <w:pPr>
        <w:tabs>
          <w:tab w:val="num" w:pos="5040"/>
        </w:tabs>
        <w:ind w:left="5040" w:hanging="360"/>
      </w:pPr>
      <w:rPr>
        <w:rFonts w:ascii="Times New Roman" w:hAnsi="Times New Roman" w:hint="default"/>
      </w:rPr>
    </w:lvl>
    <w:lvl w:ilvl="7" w:tplc="E248A870" w:tentative="1">
      <w:start w:val="1"/>
      <w:numFmt w:val="bullet"/>
      <w:lvlText w:val="-"/>
      <w:lvlJc w:val="left"/>
      <w:pPr>
        <w:tabs>
          <w:tab w:val="num" w:pos="5760"/>
        </w:tabs>
        <w:ind w:left="5760" w:hanging="360"/>
      </w:pPr>
      <w:rPr>
        <w:rFonts w:ascii="Times New Roman" w:hAnsi="Times New Roman" w:hint="default"/>
      </w:rPr>
    </w:lvl>
    <w:lvl w:ilvl="8" w:tplc="5D723C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721D4"/>
    <w:multiLevelType w:val="hybridMultilevel"/>
    <w:tmpl w:val="06AA2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5FE0105"/>
    <w:multiLevelType w:val="hybridMultilevel"/>
    <w:tmpl w:val="794001B0"/>
    <w:lvl w:ilvl="0" w:tplc="0A1C5692">
      <w:start w:val="1"/>
      <w:numFmt w:val="bullet"/>
      <w:lvlText w:val="-"/>
      <w:lvlJc w:val="left"/>
      <w:pPr>
        <w:tabs>
          <w:tab w:val="num" w:pos="720"/>
        </w:tabs>
        <w:ind w:left="720" w:hanging="360"/>
      </w:pPr>
      <w:rPr>
        <w:rFonts w:ascii="Times New Roman" w:hAnsi="Times New Roman" w:hint="default"/>
      </w:rPr>
    </w:lvl>
    <w:lvl w:ilvl="1" w:tplc="A454CE66" w:tentative="1">
      <w:start w:val="1"/>
      <w:numFmt w:val="bullet"/>
      <w:lvlText w:val="-"/>
      <w:lvlJc w:val="left"/>
      <w:pPr>
        <w:tabs>
          <w:tab w:val="num" w:pos="1440"/>
        </w:tabs>
        <w:ind w:left="1440" w:hanging="360"/>
      </w:pPr>
      <w:rPr>
        <w:rFonts w:ascii="Times New Roman" w:hAnsi="Times New Roman" w:hint="default"/>
      </w:rPr>
    </w:lvl>
    <w:lvl w:ilvl="2" w:tplc="BBC27566" w:tentative="1">
      <w:start w:val="1"/>
      <w:numFmt w:val="bullet"/>
      <w:lvlText w:val="-"/>
      <w:lvlJc w:val="left"/>
      <w:pPr>
        <w:tabs>
          <w:tab w:val="num" w:pos="2160"/>
        </w:tabs>
        <w:ind w:left="2160" w:hanging="360"/>
      </w:pPr>
      <w:rPr>
        <w:rFonts w:ascii="Times New Roman" w:hAnsi="Times New Roman" w:hint="default"/>
      </w:rPr>
    </w:lvl>
    <w:lvl w:ilvl="3" w:tplc="67C45EC0" w:tentative="1">
      <w:start w:val="1"/>
      <w:numFmt w:val="bullet"/>
      <w:lvlText w:val="-"/>
      <w:lvlJc w:val="left"/>
      <w:pPr>
        <w:tabs>
          <w:tab w:val="num" w:pos="2880"/>
        </w:tabs>
        <w:ind w:left="2880" w:hanging="360"/>
      </w:pPr>
      <w:rPr>
        <w:rFonts w:ascii="Times New Roman" w:hAnsi="Times New Roman" w:hint="default"/>
      </w:rPr>
    </w:lvl>
    <w:lvl w:ilvl="4" w:tplc="589274C0" w:tentative="1">
      <w:start w:val="1"/>
      <w:numFmt w:val="bullet"/>
      <w:lvlText w:val="-"/>
      <w:lvlJc w:val="left"/>
      <w:pPr>
        <w:tabs>
          <w:tab w:val="num" w:pos="3600"/>
        </w:tabs>
        <w:ind w:left="3600" w:hanging="360"/>
      </w:pPr>
      <w:rPr>
        <w:rFonts w:ascii="Times New Roman" w:hAnsi="Times New Roman" w:hint="default"/>
      </w:rPr>
    </w:lvl>
    <w:lvl w:ilvl="5" w:tplc="4C6ADFF8" w:tentative="1">
      <w:start w:val="1"/>
      <w:numFmt w:val="bullet"/>
      <w:lvlText w:val="-"/>
      <w:lvlJc w:val="left"/>
      <w:pPr>
        <w:tabs>
          <w:tab w:val="num" w:pos="4320"/>
        </w:tabs>
        <w:ind w:left="4320" w:hanging="360"/>
      </w:pPr>
      <w:rPr>
        <w:rFonts w:ascii="Times New Roman" w:hAnsi="Times New Roman" w:hint="default"/>
      </w:rPr>
    </w:lvl>
    <w:lvl w:ilvl="6" w:tplc="D14A7C20" w:tentative="1">
      <w:start w:val="1"/>
      <w:numFmt w:val="bullet"/>
      <w:lvlText w:val="-"/>
      <w:lvlJc w:val="left"/>
      <w:pPr>
        <w:tabs>
          <w:tab w:val="num" w:pos="5040"/>
        </w:tabs>
        <w:ind w:left="5040" w:hanging="360"/>
      </w:pPr>
      <w:rPr>
        <w:rFonts w:ascii="Times New Roman" w:hAnsi="Times New Roman" w:hint="default"/>
      </w:rPr>
    </w:lvl>
    <w:lvl w:ilvl="7" w:tplc="5C523DDC" w:tentative="1">
      <w:start w:val="1"/>
      <w:numFmt w:val="bullet"/>
      <w:lvlText w:val="-"/>
      <w:lvlJc w:val="left"/>
      <w:pPr>
        <w:tabs>
          <w:tab w:val="num" w:pos="5760"/>
        </w:tabs>
        <w:ind w:left="5760" w:hanging="360"/>
      </w:pPr>
      <w:rPr>
        <w:rFonts w:ascii="Times New Roman" w:hAnsi="Times New Roman" w:hint="default"/>
      </w:rPr>
    </w:lvl>
    <w:lvl w:ilvl="8" w:tplc="744042D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9F3DD4"/>
    <w:multiLevelType w:val="hybridMultilevel"/>
    <w:tmpl w:val="53B6EDE2"/>
    <w:lvl w:ilvl="0" w:tplc="ADF87308">
      <w:start w:val="1"/>
      <w:numFmt w:val="bullet"/>
      <w:lvlText w:val="ü"/>
      <w:lvlJc w:val="left"/>
      <w:pPr>
        <w:tabs>
          <w:tab w:val="num" w:pos="720"/>
        </w:tabs>
        <w:ind w:left="720" w:hanging="360"/>
      </w:pPr>
      <w:rPr>
        <w:rFonts w:ascii="Wingdings" w:hAnsi="Wingdings" w:hint="default"/>
      </w:rPr>
    </w:lvl>
    <w:lvl w:ilvl="1" w:tplc="7970608A" w:tentative="1">
      <w:start w:val="1"/>
      <w:numFmt w:val="bullet"/>
      <w:lvlText w:val="ü"/>
      <w:lvlJc w:val="left"/>
      <w:pPr>
        <w:tabs>
          <w:tab w:val="num" w:pos="1440"/>
        </w:tabs>
        <w:ind w:left="1440" w:hanging="360"/>
      </w:pPr>
      <w:rPr>
        <w:rFonts w:ascii="Wingdings" w:hAnsi="Wingdings" w:hint="default"/>
      </w:rPr>
    </w:lvl>
    <w:lvl w:ilvl="2" w:tplc="1D56C8FA" w:tentative="1">
      <w:start w:val="1"/>
      <w:numFmt w:val="bullet"/>
      <w:lvlText w:val="ü"/>
      <w:lvlJc w:val="left"/>
      <w:pPr>
        <w:tabs>
          <w:tab w:val="num" w:pos="2160"/>
        </w:tabs>
        <w:ind w:left="2160" w:hanging="360"/>
      </w:pPr>
      <w:rPr>
        <w:rFonts w:ascii="Wingdings" w:hAnsi="Wingdings" w:hint="default"/>
      </w:rPr>
    </w:lvl>
    <w:lvl w:ilvl="3" w:tplc="AC8AB43C" w:tentative="1">
      <w:start w:val="1"/>
      <w:numFmt w:val="bullet"/>
      <w:lvlText w:val="ü"/>
      <w:lvlJc w:val="left"/>
      <w:pPr>
        <w:tabs>
          <w:tab w:val="num" w:pos="2880"/>
        </w:tabs>
        <w:ind w:left="2880" w:hanging="360"/>
      </w:pPr>
      <w:rPr>
        <w:rFonts w:ascii="Wingdings" w:hAnsi="Wingdings" w:hint="default"/>
      </w:rPr>
    </w:lvl>
    <w:lvl w:ilvl="4" w:tplc="D616B7F0" w:tentative="1">
      <w:start w:val="1"/>
      <w:numFmt w:val="bullet"/>
      <w:lvlText w:val="ü"/>
      <w:lvlJc w:val="left"/>
      <w:pPr>
        <w:tabs>
          <w:tab w:val="num" w:pos="3600"/>
        </w:tabs>
        <w:ind w:left="3600" w:hanging="360"/>
      </w:pPr>
      <w:rPr>
        <w:rFonts w:ascii="Wingdings" w:hAnsi="Wingdings" w:hint="default"/>
      </w:rPr>
    </w:lvl>
    <w:lvl w:ilvl="5" w:tplc="EAF67CA8" w:tentative="1">
      <w:start w:val="1"/>
      <w:numFmt w:val="bullet"/>
      <w:lvlText w:val="ü"/>
      <w:lvlJc w:val="left"/>
      <w:pPr>
        <w:tabs>
          <w:tab w:val="num" w:pos="4320"/>
        </w:tabs>
        <w:ind w:left="4320" w:hanging="360"/>
      </w:pPr>
      <w:rPr>
        <w:rFonts w:ascii="Wingdings" w:hAnsi="Wingdings" w:hint="default"/>
      </w:rPr>
    </w:lvl>
    <w:lvl w:ilvl="6" w:tplc="C72A0AA6" w:tentative="1">
      <w:start w:val="1"/>
      <w:numFmt w:val="bullet"/>
      <w:lvlText w:val="ü"/>
      <w:lvlJc w:val="left"/>
      <w:pPr>
        <w:tabs>
          <w:tab w:val="num" w:pos="5040"/>
        </w:tabs>
        <w:ind w:left="5040" w:hanging="360"/>
      </w:pPr>
      <w:rPr>
        <w:rFonts w:ascii="Wingdings" w:hAnsi="Wingdings" w:hint="default"/>
      </w:rPr>
    </w:lvl>
    <w:lvl w:ilvl="7" w:tplc="EDD247EE" w:tentative="1">
      <w:start w:val="1"/>
      <w:numFmt w:val="bullet"/>
      <w:lvlText w:val="ü"/>
      <w:lvlJc w:val="left"/>
      <w:pPr>
        <w:tabs>
          <w:tab w:val="num" w:pos="5760"/>
        </w:tabs>
        <w:ind w:left="5760" w:hanging="360"/>
      </w:pPr>
      <w:rPr>
        <w:rFonts w:ascii="Wingdings" w:hAnsi="Wingdings" w:hint="default"/>
      </w:rPr>
    </w:lvl>
    <w:lvl w:ilvl="8" w:tplc="EC180FF0" w:tentative="1">
      <w:start w:val="1"/>
      <w:numFmt w:val="bullet"/>
      <w:lvlText w:val="ü"/>
      <w:lvlJc w:val="left"/>
      <w:pPr>
        <w:tabs>
          <w:tab w:val="num" w:pos="6480"/>
        </w:tabs>
        <w:ind w:left="6480" w:hanging="360"/>
      </w:pPr>
      <w:rPr>
        <w:rFonts w:ascii="Wingdings" w:hAnsi="Wingdings" w:hint="default"/>
      </w:rPr>
    </w:lvl>
  </w:abstractNum>
  <w:abstractNum w:abstractNumId="16"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5300E"/>
    <w:multiLevelType w:val="hybridMultilevel"/>
    <w:tmpl w:val="974CC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847485"/>
    <w:multiLevelType w:val="hybridMultilevel"/>
    <w:tmpl w:val="D2B05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133069"/>
    <w:multiLevelType w:val="hybridMultilevel"/>
    <w:tmpl w:val="D22E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E0840"/>
    <w:multiLevelType w:val="hybridMultilevel"/>
    <w:tmpl w:val="53E617F2"/>
    <w:lvl w:ilvl="0" w:tplc="190E7DDA">
      <w:start w:val="1"/>
      <w:numFmt w:val="bullet"/>
      <w:lvlText w:val="-"/>
      <w:lvlJc w:val="left"/>
      <w:pPr>
        <w:tabs>
          <w:tab w:val="num" w:pos="720"/>
        </w:tabs>
        <w:ind w:left="720" w:hanging="360"/>
      </w:pPr>
      <w:rPr>
        <w:rFonts w:ascii="Times New Roman" w:hAnsi="Times New Roman" w:hint="default"/>
      </w:rPr>
    </w:lvl>
    <w:lvl w:ilvl="1" w:tplc="A7AC23B0" w:tentative="1">
      <w:start w:val="1"/>
      <w:numFmt w:val="bullet"/>
      <w:lvlText w:val="-"/>
      <w:lvlJc w:val="left"/>
      <w:pPr>
        <w:tabs>
          <w:tab w:val="num" w:pos="1440"/>
        </w:tabs>
        <w:ind w:left="1440" w:hanging="360"/>
      </w:pPr>
      <w:rPr>
        <w:rFonts w:ascii="Times New Roman" w:hAnsi="Times New Roman" w:hint="default"/>
      </w:rPr>
    </w:lvl>
    <w:lvl w:ilvl="2" w:tplc="67E43170" w:tentative="1">
      <w:start w:val="1"/>
      <w:numFmt w:val="bullet"/>
      <w:lvlText w:val="-"/>
      <w:lvlJc w:val="left"/>
      <w:pPr>
        <w:tabs>
          <w:tab w:val="num" w:pos="2160"/>
        </w:tabs>
        <w:ind w:left="2160" w:hanging="360"/>
      </w:pPr>
      <w:rPr>
        <w:rFonts w:ascii="Times New Roman" w:hAnsi="Times New Roman" w:hint="default"/>
      </w:rPr>
    </w:lvl>
    <w:lvl w:ilvl="3" w:tplc="EEF4AD18" w:tentative="1">
      <w:start w:val="1"/>
      <w:numFmt w:val="bullet"/>
      <w:lvlText w:val="-"/>
      <w:lvlJc w:val="left"/>
      <w:pPr>
        <w:tabs>
          <w:tab w:val="num" w:pos="2880"/>
        </w:tabs>
        <w:ind w:left="2880" w:hanging="360"/>
      </w:pPr>
      <w:rPr>
        <w:rFonts w:ascii="Times New Roman" w:hAnsi="Times New Roman" w:hint="default"/>
      </w:rPr>
    </w:lvl>
    <w:lvl w:ilvl="4" w:tplc="1B5039E4" w:tentative="1">
      <w:start w:val="1"/>
      <w:numFmt w:val="bullet"/>
      <w:lvlText w:val="-"/>
      <w:lvlJc w:val="left"/>
      <w:pPr>
        <w:tabs>
          <w:tab w:val="num" w:pos="3600"/>
        </w:tabs>
        <w:ind w:left="3600" w:hanging="360"/>
      </w:pPr>
      <w:rPr>
        <w:rFonts w:ascii="Times New Roman" w:hAnsi="Times New Roman" w:hint="default"/>
      </w:rPr>
    </w:lvl>
    <w:lvl w:ilvl="5" w:tplc="4D320ADC" w:tentative="1">
      <w:start w:val="1"/>
      <w:numFmt w:val="bullet"/>
      <w:lvlText w:val="-"/>
      <w:lvlJc w:val="left"/>
      <w:pPr>
        <w:tabs>
          <w:tab w:val="num" w:pos="4320"/>
        </w:tabs>
        <w:ind w:left="4320" w:hanging="360"/>
      </w:pPr>
      <w:rPr>
        <w:rFonts w:ascii="Times New Roman" w:hAnsi="Times New Roman" w:hint="default"/>
      </w:rPr>
    </w:lvl>
    <w:lvl w:ilvl="6" w:tplc="E84C6954" w:tentative="1">
      <w:start w:val="1"/>
      <w:numFmt w:val="bullet"/>
      <w:lvlText w:val="-"/>
      <w:lvlJc w:val="left"/>
      <w:pPr>
        <w:tabs>
          <w:tab w:val="num" w:pos="5040"/>
        </w:tabs>
        <w:ind w:left="5040" w:hanging="360"/>
      </w:pPr>
      <w:rPr>
        <w:rFonts w:ascii="Times New Roman" w:hAnsi="Times New Roman" w:hint="default"/>
      </w:rPr>
    </w:lvl>
    <w:lvl w:ilvl="7" w:tplc="496C33FA" w:tentative="1">
      <w:start w:val="1"/>
      <w:numFmt w:val="bullet"/>
      <w:lvlText w:val="-"/>
      <w:lvlJc w:val="left"/>
      <w:pPr>
        <w:tabs>
          <w:tab w:val="num" w:pos="5760"/>
        </w:tabs>
        <w:ind w:left="5760" w:hanging="360"/>
      </w:pPr>
      <w:rPr>
        <w:rFonts w:ascii="Times New Roman" w:hAnsi="Times New Roman" w:hint="default"/>
      </w:rPr>
    </w:lvl>
    <w:lvl w:ilvl="8" w:tplc="59E2C19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26FD7"/>
    <w:multiLevelType w:val="hybridMultilevel"/>
    <w:tmpl w:val="CFE6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E1195"/>
    <w:multiLevelType w:val="hybridMultilevel"/>
    <w:tmpl w:val="48FEC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22"/>
  </w:num>
  <w:num w:numId="4">
    <w:abstractNumId w:val="19"/>
  </w:num>
  <w:num w:numId="5">
    <w:abstractNumId w:val="21"/>
  </w:num>
  <w:num w:numId="6">
    <w:abstractNumId w:val="34"/>
  </w:num>
  <w:num w:numId="7">
    <w:abstractNumId w:val="9"/>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32"/>
  </w:num>
  <w:num w:numId="10">
    <w:abstractNumId w:val="5"/>
  </w:num>
  <w:num w:numId="11">
    <w:abstractNumId w:val="24"/>
  </w:num>
  <w:num w:numId="12">
    <w:abstractNumId w:val="31"/>
  </w:num>
  <w:num w:numId="13">
    <w:abstractNumId w:val="7"/>
  </w:num>
  <w:num w:numId="14">
    <w:abstractNumId w:val="12"/>
  </w:num>
  <w:num w:numId="15">
    <w:abstractNumId w:val="29"/>
  </w:num>
  <w:num w:numId="16">
    <w:abstractNumId w:val="1"/>
  </w:num>
  <w:num w:numId="17">
    <w:abstractNumId w:val="3"/>
  </w:num>
  <w:num w:numId="18">
    <w:abstractNumId w:val="33"/>
  </w:num>
  <w:num w:numId="19">
    <w:abstractNumId w:val="26"/>
  </w:num>
  <w:num w:numId="20">
    <w:abstractNumId w:val="8"/>
  </w:num>
  <w:num w:numId="21">
    <w:abstractNumId w:val="11"/>
  </w:num>
  <w:num w:numId="22">
    <w:abstractNumId w:val="27"/>
  </w:num>
  <w:num w:numId="23">
    <w:abstractNumId w:val="16"/>
  </w:num>
  <w:num w:numId="24">
    <w:abstractNumId w:val="15"/>
  </w:num>
  <w:num w:numId="25">
    <w:abstractNumId w:val="2"/>
  </w:num>
  <w:num w:numId="26">
    <w:abstractNumId w:val="18"/>
  </w:num>
  <w:num w:numId="27">
    <w:abstractNumId w:val="23"/>
  </w:num>
  <w:num w:numId="28">
    <w:abstractNumId w:val="20"/>
  </w:num>
  <w:num w:numId="29">
    <w:abstractNumId w:val="14"/>
  </w:num>
  <w:num w:numId="30">
    <w:abstractNumId w:val="30"/>
  </w:num>
  <w:num w:numId="31">
    <w:abstractNumId w:val="4"/>
  </w:num>
  <w:num w:numId="32">
    <w:abstractNumId w:val="6"/>
  </w:num>
  <w:num w:numId="33">
    <w:abstractNumId w:val="17"/>
  </w:num>
  <w:num w:numId="34">
    <w:abstractNumId w:val="1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0C58"/>
    <w:rsid w:val="00006EAD"/>
    <w:rsid w:val="000C40EE"/>
    <w:rsid w:val="000F2415"/>
    <w:rsid w:val="000F7896"/>
    <w:rsid w:val="00151E6A"/>
    <w:rsid w:val="001D603D"/>
    <w:rsid w:val="0023008E"/>
    <w:rsid w:val="00260809"/>
    <w:rsid w:val="00271010"/>
    <w:rsid w:val="002E3ECE"/>
    <w:rsid w:val="002F3B54"/>
    <w:rsid w:val="0034224C"/>
    <w:rsid w:val="00342639"/>
    <w:rsid w:val="003453F7"/>
    <w:rsid w:val="003630ED"/>
    <w:rsid w:val="003A435F"/>
    <w:rsid w:val="003B34C4"/>
    <w:rsid w:val="003F6587"/>
    <w:rsid w:val="00450007"/>
    <w:rsid w:val="0045500D"/>
    <w:rsid w:val="00457DD3"/>
    <w:rsid w:val="00471328"/>
    <w:rsid w:val="00491738"/>
    <w:rsid w:val="004B7351"/>
    <w:rsid w:val="004D35F1"/>
    <w:rsid w:val="00556D69"/>
    <w:rsid w:val="005703B7"/>
    <w:rsid w:val="005A4E47"/>
    <w:rsid w:val="005D4432"/>
    <w:rsid w:val="005D5A2C"/>
    <w:rsid w:val="005D7794"/>
    <w:rsid w:val="005F709E"/>
    <w:rsid w:val="006527C6"/>
    <w:rsid w:val="006B6FDF"/>
    <w:rsid w:val="0075334E"/>
    <w:rsid w:val="007678A6"/>
    <w:rsid w:val="00773F6C"/>
    <w:rsid w:val="0080315D"/>
    <w:rsid w:val="008147B2"/>
    <w:rsid w:val="00844FBF"/>
    <w:rsid w:val="008817F1"/>
    <w:rsid w:val="008A4C93"/>
    <w:rsid w:val="008E3FE7"/>
    <w:rsid w:val="008E4D2C"/>
    <w:rsid w:val="00951791"/>
    <w:rsid w:val="009D1DB1"/>
    <w:rsid w:val="009F336B"/>
    <w:rsid w:val="00A03CF0"/>
    <w:rsid w:val="00A31FA0"/>
    <w:rsid w:val="00A342ED"/>
    <w:rsid w:val="00A4110D"/>
    <w:rsid w:val="00A60446"/>
    <w:rsid w:val="00A734A5"/>
    <w:rsid w:val="00A76996"/>
    <w:rsid w:val="00AA5742"/>
    <w:rsid w:val="00AB07AA"/>
    <w:rsid w:val="00B3608C"/>
    <w:rsid w:val="00B40FCA"/>
    <w:rsid w:val="00B56791"/>
    <w:rsid w:val="00BA319A"/>
    <w:rsid w:val="00BA6A8F"/>
    <w:rsid w:val="00BD7897"/>
    <w:rsid w:val="00C115FC"/>
    <w:rsid w:val="00C541A2"/>
    <w:rsid w:val="00CB02C4"/>
    <w:rsid w:val="00CB3026"/>
    <w:rsid w:val="00CC1F79"/>
    <w:rsid w:val="00CC2222"/>
    <w:rsid w:val="00D46C6A"/>
    <w:rsid w:val="00D62E5F"/>
    <w:rsid w:val="00D82C18"/>
    <w:rsid w:val="00E13BE7"/>
    <w:rsid w:val="00E72411"/>
    <w:rsid w:val="00E7344B"/>
    <w:rsid w:val="00E95703"/>
    <w:rsid w:val="00EE1E16"/>
    <w:rsid w:val="00F1338F"/>
    <w:rsid w:val="00F1574D"/>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213392263">
      <w:bodyDiv w:val="1"/>
      <w:marLeft w:val="0"/>
      <w:marRight w:val="0"/>
      <w:marTop w:val="0"/>
      <w:marBottom w:val="0"/>
      <w:divBdr>
        <w:top w:val="none" w:sz="0" w:space="0" w:color="auto"/>
        <w:left w:val="none" w:sz="0" w:space="0" w:color="auto"/>
        <w:bottom w:val="none" w:sz="0" w:space="0" w:color="auto"/>
        <w:right w:val="none" w:sz="0" w:space="0" w:color="auto"/>
      </w:divBdr>
      <w:divsChild>
        <w:div w:id="838934010">
          <w:marLeft w:val="274"/>
          <w:marRight w:val="0"/>
          <w:marTop w:val="86"/>
          <w:marBottom w:val="0"/>
          <w:divBdr>
            <w:top w:val="none" w:sz="0" w:space="0" w:color="auto"/>
            <w:left w:val="none" w:sz="0" w:space="0" w:color="auto"/>
            <w:bottom w:val="none" w:sz="0" w:space="0" w:color="auto"/>
            <w:right w:val="none" w:sz="0" w:space="0" w:color="auto"/>
          </w:divBdr>
        </w:div>
        <w:div w:id="260723356">
          <w:marLeft w:val="274"/>
          <w:marRight w:val="0"/>
          <w:marTop w:val="86"/>
          <w:marBottom w:val="0"/>
          <w:divBdr>
            <w:top w:val="none" w:sz="0" w:space="0" w:color="auto"/>
            <w:left w:val="none" w:sz="0" w:space="0" w:color="auto"/>
            <w:bottom w:val="none" w:sz="0" w:space="0" w:color="auto"/>
            <w:right w:val="none" w:sz="0" w:space="0" w:color="auto"/>
          </w:divBdr>
        </w:div>
        <w:div w:id="230847707">
          <w:marLeft w:val="274"/>
          <w:marRight w:val="0"/>
          <w:marTop w:val="86"/>
          <w:marBottom w:val="0"/>
          <w:divBdr>
            <w:top w:val="none" w:sz="0" w:space="0" w:color="auto"/>
            <w:left w:val="none" w:sz="0" w:space="0" w:color="auto"/>
            <w:bottom w:val="none" w:sz="0" w:space="0" w:color="auto"/>
            <w:right w:val="none" w:sz="0" w:space="0" w:color="auto"/>
          </w:divBdr>
        </w:div>
        <w:div w:id="1430349642">
          <w:marLeft w:val="274"/>
          <w:marRight w:val="0"/>
          <w:marTop w:val="86"/>
          <w:marBottom w:val="0"/>
          <w:divBdr>
            <w:top w:val="none" w:sz="0" w:space="0" w:color="auto"/>
            <w:left w:val="none" w:sz="0" w:space="0" w:color="auto"/>
            <w:bottom w:val="none" w:sz="0" w:space="0" w:color="auto"/>
            <w:right w:val="none" w:sz="0" w:space="0" w:color="auto"/>
          </w:divBdr>
        </w:div>
        <w:div w:id="909998508">
          <w:marLeft w:val="274"/>
          <w:marRight w:val="0"/>
          <w:marTop w:val="86"/>
          <w:marBottom w:val="0"/>
          <w:divBdr>
            <w:top w:val="none" w:sz="0" w:space="0" w:color="auto"/>
            <w:left w:val="none" w:sz="0" w:space="0" w:color="auto"/>
            <w:bottom w:val="none" w:sz="0" w:space="0" w:color="auto"/>
            <w:right w:val="none" w:sz="0" w:space="0" w:color="auto"/>
          </w:divBdr>
        </w:div>
        <w:div w:id="2002856051">
          <w:marLeft w:val="274"/>
          <w:marRight w:val="0"/>
          <w:marTop w:val="86"/>
          <w:marBottom w:val="0"/>
          <w:divBdr>
            <w:top w:val="none" w:sz="0" w:space="0" w:color="auto"/>
            <w:left w:val="none" w:sz="0" w:space="0" w:color="auto"/>
            <w:bottom w:val="none" w:sz="0" w:space="0" w:color="auto"/>
            <w:right w:val="none" w:sz="0" w:space="0" w:color="auto"/>
          </w:divBdr>
        </w:div>
        <w:div w:id="609699135">
          <w:marLeft w:val="274"/>
          <w:marRight w:val="0"/>
          <w:marTop w:val="86"/>
          <w:marBottom w:val="0"/>
          <w:divBdr>
            <w:top w:val="none" w:sz="0" w:space="0" w:color="auto"/>
            <w:left w:val="none" w:sz="0" w:space="0" w:color="auto"/>
            <w:bottom w:val="none" w:sz="0" w:space="0" w:color="auto"/>
            <w:right w:val="none" w:sz="0" w:space="0" w:color="auto"/>
          </w:divBdr>
        </w:div>
      </w:divsChild>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57918609">
      <w:bodyDiv w:val="1"/>
      <w:marLeft w:val="0"/>
      <w:marRight w:val="0"/>
      <w:marTop w:val="0"/>
      <w:marBottom w:val="0"/>
      <w:divBdr>
        <w:top w:val="none" w:sz="0" w:space="0" w:color="auto"/>
        <w:left w:val="none" w:sz="0" w:space="0" w:color="auto"/>
        <w:bottom w:val="none" w:sz="0" w:space="0" w:color="auto"/>
        <w:right w:val="none" w:sz="0" w:space="0" w:color="auto"/>
      </w:divBdr>
      <w:divsChild>
        <w:div w:id="1412703003">
          <w:marLeft w:val="274"/>
          <w:marRight w:val="0"/>
          <w:marTop w:val="86"/>
          <w:marBottom w:val="0"/>
          <w:divBdr>
            <w:top w:val="none" w:sz="0" w:space="0" w:color="auto"/>
            <w:left w:val="none" w:sz="0" w:space="0" w:color="auto"/>
            <w:bottom w:val="none" w:sz="0" w:space="0" w:color="auto"/>
            <w:right w:val="none" w:sz="0" w:space="0" w:color="auto"/>
          </w:divBdr>
        </w:div>
        <w:div w:id="1082290152">
          <w:marLeft w:val="274"/>
          <w:marRight w:val="0"/>
          <w:marTop w:val="86"/>
          <w:marBottom w:val="0"/>
          <w:divBdr>
            <w:top w:val="none" w:sz="0" w:space="0" w:color="auto"/>
            <w:left w:val="none" w:sz="0" w:space="0" w:color="auto"/>
            <w:bottom w:val="none" w:sz="0" w:space="0" w:color="auto"/>
            <w:right w:val="none" w:sz="0" w:space="0" w:color="auto"/>
          </w:divBdr>
        </w:div>
        <w:div w:id="1624581260">
          <w:marLeft w:val="274"/>
          <w:marRight w:val="0"/>
          <w:marTop w:val="86"/>
          <w:marBottom w:val="0"/>
          <w:divBdr>
            <w:top w:val="none" w:sz="0" w:space="0" w:color="auto"/>
            <w:left w:val="none" w:sz="0" w:space="0" w:color="auto"/>
            <w:bottom w:val="none" w:sz="0" w:space="0" w:color="auto"/>
            <w:right w:val="none" w:sz="0" w:space="0" w:color="auto"/>
          </w:divBdr>
        </w:div>
        <w:div w:id="1676961203">
          <w:marLeft w:val="274"/>
          <w:marRight w:val="0"/>
          <w:marTop w:val="86"/>
          <w:marBottom w:val="0"/>
          <w:divBdr>
            <w:top w:val="none" w:sz="0" w:space="0" w:color="auto"/>
            <w:left w:val="none" w:sz="0" w:space="0" w:color="auto"/>
            <w:bottom w:val="none" w:sz="0" w:space="0" w:color="auto"/>
            <w:right w:val="none" w:sz="0" w:space="0" w:color="auto"/>
          </w:divBdr>
        </w:div>
        <w:div w:id="227886943">
          <w:marLeft w:val="274"/>
          <w:marRight w:val="0"/>
          <w:marTop w:val="86"/>
          <w:marBottom w:val="0"/>
          <w:divBdr>
            <w:top w:val="none" w:sz="0" w:space="0" w:color="auto"/>
            <w:left w:val="none" w:sz="0" w:space="0" w:color="auto"/>
            <w:bottom w:val="none" w:sz="0" w:space="0" w:color="auto"/>
            <w:right w:val="none" w:sz="0" w:space="0" w:color="auto"/>
          </w:divBdr>
        </w:div>
      </w:divsChild>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42939578">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17907934">
      <w:bodyDiv w:val="1"/>
      <w:marLeft w:val="0"/>
      <w:marRight w:val="0"/>
      <w:marTop w:val="0"/>
      <w:marBottom w:val="0"/>
      <w:divBdr>
        <w:top w:val="none" w:sz="0" w:space="0" w:color="auto"/>
        <w:left w:val="none" w:sz="0" w:space="0" w:color="auto"/>
        <w:bottom w:val="none" w:sz="0" w:space="0" w:color="auto"/>
        <w:right w:val="none" w:sz="0" w:space="0" w:color="auto"/>
      </w:divBdr>
      <w:divsChild>
        <w:div w:id="681707586">
          <w:marLeft w:val="274"/>
          <w:marRight w:val="0"/>
          <w:marTop w:val="86"/>
          <w:marBottom w:val="0"/>
          <w:divBdr>
            <w:top w:val="none" w:sz="0" w:space="0" w:color="auto"/>
            <w:left w:val="none" w:sz="0" w:space="0" w:color="auto"/>
            <w:bottom w:val="none" w:sz="0" w:space="0" w:color="auto"/>
            <w:right w:val="none" w:sz="0" w:space="0" w:color="auto"/>
          </w:divBdr>
        </w:div>
        <w:div w:id="543443880">
          <w:marLeft w:val="274"/>
          <w:marRight w:val="0"/>
          <w:marTop w:val="86"/>
          <w:marBottom w:val="0"/>
          <w:divBdr>
            <w:top w:val="none" w:sz="0" w:space="0" w:color="auto"/>
            <w:left w:val="none" w:sz="0" w:space="0" w:color="auto"/>
            <w:bottom w:val="none" w:sz="0" w:space="0" w:color="auto"/>
            <w:right w:val="none" w:sz="0" w:space="0" w:color="auto"/>
          </w:divBdr>
        </w:div>
        <w:div w:id="330959407">
          <w:marLeft w:val="274"/>
          <w:marRight w:val="0"/>
          <w:marTop w:val="86"/>
          <w:marBottom w:val="0"/>
          <w:divBdr>
            <w:top w:val="none" w:sz="0" w:space="0" w:color="auto"/>
            <w:left w:val="none" w:sz="0" w:space="0" w:color="auto"/>
            <w:bottom w:val="none" w:sz="0" w:space="0" w:color="auto"/>
            <w:right w:val="none" w:sz="0" w:space="0" w:color="auto"/>
          </w:divBdr>
        </w:div>
        <w:div w:id="2047753231">
          <w:marLeft w:val="274"/>
          <w:marRight w:val="0"/>
          <w:marTop w:val="86"/>
          <w:marBottom w:val="0"/>
          <w:divBdr>
            <w:top w:val="none" w:sz="0" w:space="0" w:color="auto"/>
            <w:left w:val="none" w:sz="0" w:space="0" w:color="auto"/>
            <w:bottom w:val="none" w:sz="0" w:space="0" w:color="auto"/>
            <w:right w:val="none" w:sz="0" w:space="0" w:color="auto"/>
          </w:divBdr>
        </w:div>
        <w:div w:id="539827965">
          <w:marLeft w:val="274"/>
          <w:marRight w:val="0"/>
          <w:marTop w:val="86"/>
          <w:marBottom w:val="0"/>
          <w:divBdr>
            <w:top w:val="none" w:sz="0" w:space="0" w:color="auto"/>
            <w:left w:val="none" w:sz="0" w:space="0" w:color="auto"/>
            <w:bottom w:val="none" w:sz="0" w:space="0" w:color="auto"/>
            <w:right w:val="none" w:sz="0" w:space="0" w:color="auto"/>
          </w:divBdr>
        </w:div>
        <w:div w:id="928007881">
          <w:marLeft w:val="274"/>
          <w:marRight w:val="0"/>
          <w:marTop w:val="86"/>
          <w:marBottom w:val="0"/>
          <w:divBdr>
            <w:top w:val="none" w:sz="0" w:space="0" w:color="auto"/>
            <w:left w:val="none" w:sz="0" w:space="0" w:color="auto"/>
            <w:bottom w:val="none" w:sz="0" w:space="0" w:color="auto"/>
            <w:right w:val="none" w:sz="0" w:space="0" w:color="auto"/>
          </w:divBdr>
        </w:div>
      </w:divsChild>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39664580">
      <w:bodyDiv w:val="1"/>
      <w:marLeft w:val="0"/>
      <w:marRight w:val="0"/>
      <w:marTop w:val="0"/>
      <w:marBottom w:val="0"/>
      <w:divBdr>
        <w:top w:val="none" w:sz="0" w:space="0" w:color="auto"/>
        <w:left w:val="none" w:sz="0" w:space="0" w:color="auto"/>
        <w:bottom w:val="none" w:sz="0" w:space="0" w:color="auto"/>
        <w:right w:val="none" w:sz="0" w:space="0" w:color="auto"/>
      </w:divBdr>
      <w:divsChild>
        <w:div w:id="1886486160">
          <w:marLeft w:val="274"/>
          <w:marRight w:val="0"/>
          <w:marTop w:val="86"/>
          <w:marBottom w:val="0"/>
          <w:divBdr>
            <w:top w:val="none" w:sz="0" w:space="0" w:color="auto"/>
            <w:left w:val="none" w:sz="0" w:space="0" w:color="auto"/>
            <w:bottom w:val="none" w:sz="0" w:space="0" w:color="auto"/>
            <w:right w:val="none" w:sz="0" w:space="0" w:color="auto"/>
          </w:divBdr>
        </w:div>
        <w:div w:id="2122916500">
          <w:marLeft w:val="274"/>
          <w:marRight w:val="0"/>
          <w:marTop w:val="86"/>
          <w:marBottom w:val="0"/>
          <w:divBdr>
            <w:top w:val="none" w:sz="0" w:space="0" w:color="auto"/>
            <w:left w:val="none" w:sz="0" w:space="0" w:color="auto"/>
            <w:bottom w:val="none" w:sz="0" w:space="0" w:color="auto"/>
            <w:right w:val="none" w:sz="0" w:space="0" w:color="auto"/>
          </w:divBdr>
        </w:div>
        <w:div w:id="902327715">
          <w:marLeft w:val="274"/>
          <w:marRight w:val="0"/>
          <w:marTop w:val="86"/>
          <w:marBottom w:val="0"/>
          <w:divBdr>
            <w:top w:val="none" w:sz="0" w:space="0" w:color="auto"/>
            <w:left w:val="none" w:sz="0" w:space="0" w:color="auto"/>
            <w:bottom w:val="none" w:sz="0" w:space="0" w:color="auto"/>
            <w:right w:val="none" w:sz="0" w:space="0" w:color="auto"/>
          </w:divBdr>
        </w:div>
        <w:div w:id="1949459821">
          <w:marLeft w:val="274"/>
          <w:marRight w:val="0"/>
          <w:marTop w:val="86"/>
          <w:marBottom w:val="0"/>
          <w:divBdr>
            <w:top w:val="none" w:sz="0" w:space="0" w:color="auto"/>
            <w:left w:val="none" w:sz="0" w:space="0" w:color="auto"/>
            <w:bottom w:val="none" w:sz="0" w:space="0" w:color="auto"/>
            <w:right w:val="none" w:sz="0" w:space="0" w:color="auto"/>
          </w:divBdr>
        </w:div>
        <w:div w:id="1165852662">
          <w:marLeft w:val="274"/>
          <w:marRight w:val="0"/>
          <w:marTop w:val="86"/>
          <w:marBottom w:val="0"/>
          <w:divBdr>
            <w:top w:val="none" w:sz="0" w:space="0" w:color="auto"/>
            <w:left w:val="none" w:sz="0" w:space="0" w:color="auto"/>
            <w:bottom w:val="none" w:sz="0" w:space="0" w:color="auto"/>
            <w:right w:val="none" w:sz="0" w:space="0" w:color="auto"/>
          </w:divBdr>
        </w:div>
      </w:divsChild>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294671710">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780442339">
      <w:bodyDiv w:val="1"/>
      <w:marLeft w:val="0"/>
      <w:marRight w:val="0"/>
      <w:marTop w:val="0"/>
      <w:marBottom w:val="0"/>
      <w:divBdr>
        <w:top w:val="none" w:sz="0" w:space="0" w:color="auto"/>
        <w:left w:val="none" w:sz="0" w:space="0" w:color="auto"/>
        <w:bottom w:val="none" w:sz="0" w:space="0" w:color="auto"/>
        <w:right w:val="none" w:sz="0" w:space="0" w:color="auto"/>
      </w:divBdr>
      <w:divsChild>
        <w:div w:id="801190288">
          <w:marLeft w:val="547"/>
          <w:marRight w:val="0"/>
          <w:marTop w:val="0"/>
          <w:marBottom w:val="0"/>
          <w:divBdr>
            <w:top w:val="none" w:sz="0" w:space="0" w:color="auto"/>
            <w:left w:val="none" w:sz="0" w:space="0" w:color="auto"/>
            <w:bottom w:val="none" w:sz="0" w:space="0" w:color="auto"/>
            <w:right w:val="none" w:sz="0" w:space="0" w:color="auto"/>
          </w:divBdr>
        </w:div>
        <w:div w:id="1613704294">
          <w:marLeft w:val="547"/>
          <w:marRight w:val="0"/>
          <w:marTop w:val="0"/>
          <w:marBottom w:val="0"/>
          <w:divBdr>
            <w:top w:val="none" w:sz="0" w:space="0" w:color="auto"/>
            <w:left w:val="none" w:sz="0" w:space="0" w:color="auto"/>
            <w:bottom w:val="none" w:sz="0" w:space="0" w:color="auto"/>
            <w:right w:val="none" w:sz="0" w:space="0" w:color="auto"/>
          </w:divBdr>
        </w:div>
        <w:div w:id="903877290">
          <w:marLeft w:val="547"/>
          <w:marRight w:val="0"/>
          <w:marTop w:val="0"/>
          <w:marBottom w:val="0"/>
          <w:divBdr>
            <w:top w:val="none" w:sz="0" w:space="0" w:color="auto"/>
            <w:left w:val="none" w:sz="0" w:space="0" w:color="auto"/>
            <w:bottom w:val="none" w:sz="0" w:space="0" w:color="auto"/>
            <w:right w:val="none" w:sz="0" w:space="0" w:color="auto"/>
          </w:divBdr>
        </w:div>
        <w:div w:id="189608613">
          <w:marLeft w:val="547"/>
          <w:marRight w:val="0"/>
          <w:marTop w:val="0"/>
          <w:marBottom w:val="0"/>
          <w:divBdr>
            <w:top w:val="none" w:sz="0" w:space="0" w:color="auto"/>
            <w:left w:val="none" w:sz="0" w:space="0" w:color="auto"/>
            <w:bottom w:val="none" w:sz="0" w:space="0" w:color="auto"/>
            <w:right w:val="none" w:sz="0" w:space="0" w:color="auto"/>
          </w:divBdr>
        </w:div>
      </w:divsChild>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09323917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3574942">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5</cp:revision>
  <dcterms:created xsi:type="dcterms:W3CDTF">2020-09-29T14:53:00Z</dcterms:created>
  <dcterms:modified xsi:type="dcterms:W3CDTF">2020-09-29T14:57:00Z</dcterms:modified>
</cp:coreProperties>
</file>