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6E6F1" w14:textId="119961CB" w:rsidR="00151ADF" w:rsidRPr="00151ADF" w:rsidRDefault="00B71D66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b/>
          <w:sz w:val="32"/>
          <w:rFonts w:ascii="Verdana" w:hAnsi="Verdana"/>
        </w:rPr>
        <w:t xml:space="preserve">Plani mësimor</w:t>
      </w:r>
      <w:r>
        <w:rPr>
          <w:b/>
          <w:sz w:val="32"/>
          <w:rFonts w:ascii="Verdana" w:hAnsi="Verdana"/>
        </w:rPr>
        <w:t xml:space="preserve"> </w:t>
      </w:r>
    </w:p>
    <w:p w14:paraId="297047B4" w14:textId="77777777" w:rsidR="00B71D66" w:rsidRPr="003406F3" w:rsidRDefault="00B71D66" w:rsidP="00B71D66">
      <w:pPr>
        <w:pStyle w:val="ListParagraph"/>
        <w:ind w:left="360"/>
        <w:rPr>
          <w:rFonts w:ascii="Verdana" w:hAnsi="Verdana"/>
        </w:rPr>
      </w:pPr>
    </w:p>
    <w:p w14:paraId="6857C56D" w14:textId="2FACC1F3" w:rsidR="00D82C18" w:rsidRPr="00151ADF" w:rsidRDefault="00D82C18" w:rsidP="00151ADF">
      <w:pPr>
        <w:pStyle w:val="ListParagraph"/>
        <w:ind w:left="0"/>
        <w:rPr>
          <w:b/>
          <w:sz w:val="32"/>
          <w:szCs w:val="32"/>
          <w:rFonts w:ascii="Verdana" w:hAnsi="Verdana"/>
        </w:rPr>
      </w:pPr>
      <w:r>
        <w:rPr>
          <w:sz w:val="28"/>
          <w:rFonts w:ascii="Verdana" w:hAnsi="Verdana"/>
        </w:rPr>
        <w:t xml:space="preserve">Mësimi 3.x (Konceptet bazike për bashkëpunimin ndërkombëtar)</w:t>
      </w:r>
    </w:p>
    <w:p w14:paraId="0A3DD02D" w14:textId="77777777" w:rsidR="00D82C18" w:rsidRPr="003406F3" w:rsidRDefault="00D82C18" w:rsidP="00B71D66">
      <w:pPr>
        <w:ind w:left="72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711"/>
        <w:gridCol w:w="2684"/>
      </w:tblGrid>
      <w:tr w:rsidR="003406F3" w:rsidRPr="003406F3" w14:paraId="58A3485E" w14:textId="77777777" w:rsidTr="00CB3026">
        <w:trPr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71F23E76" w:rsidR="00D82C18" w:rsidRPr="003406F3" w:rsidRDefault="00D82C18" w:rsidP="00397FEA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Mësimi 3.x (Konceptet bazike për bashkëpunimin ndërkombëtar)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5B39022F" w:rsidR="00D82C18" w:rsidRPr="003406F3" w:rsidRDefault="00D82C18" w:rsidP="006B6864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Kohëzgjatja:</w:t>
            </w:r>
            <w:r>
              <w:rPr>
                <w:sz w:val="22"/>
                <w:rFonts w:ascii="Verdana" w:hAnsi="Verdana"/>
              </w:rPr>
              <w:t xml:space="preserve"> </w:t>
            </w:r>
            <w:r>
              <w:rPr>
                <w:sz w:val="22"/>
                <w:rFonts w:ascii="Verdana" w:hAnsi="Verdana"/>
              </w:rPr>
              <w:t xml:space="preserve">90 minuta</w:t>
            </w:r>
          </w:p>
        </w:tc>
      </w:tr>
      <w:tr w:rsidR="003406F3" w:rsidRPr="003406F3" w14:paraId="7C1107AB" w14:textId="77777777" w:rsidTr="00B569A5">
        <w:trPr>
          <w:trHeight w:val="1025"/>
        </w:trPr>
        <w:tc>
          <w:tcPr>
            <w:tcW w:w="9010" w:type="dxa"/>
            <w:gridSpan w:val="3"/>
            <w:vAlign w:val="center"/>
          </w:tcPr>
          <w:p w14:paraId="54042637" w14:textId="5D5B0179" w:rsidR="00E7344B" w:rsidRPr="003406F3" w:rsidRDefault="00E7344B" w:rsidP="005951B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Burimet e nevojshme:</w:t>
            </w:r>
          </w:p>
          <w:p w14:paraId="3E3ADEA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PC/Laptop ngarkuar me versione softuerësh të pajtueshëm me materialet e përgatitura</w:t>
            </w:r>
          </w:p>
          <w:p w14:paraId="737B876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Projektor dhe ekran për shfaqje.</w:t>
            </w:r>
          </w:p>
          <w:p w14:paraId="6505534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</w:rPr>
            </w:pPr>
            <w:r>
              <w:t xml:space="preserve">Qasje në internet (nëse ka).</w:t>
            </w:r>
            <w:r>
              <w:t xml:space="preserve"> </w:t>
            </w:r>
          </w:p>
          <w:p w14:paraId="14CF9EF0" w14:textId="73EC6711" w:rsidR="00E7344B" w:rsidRPr="003406F3" w:rsidRDefault="00E7344B" w:rsidP="00B569A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i/>
                <w:szCs w:val="18"/>
              </w:rPr>
            </w:pPr>
            <w:r>
              <w:t xml:space="preserve">Fletore për shënime për pjesëmarrës dhe lapsa kimik.</w:t>
            </w:r>
          </w:p>
        </w:tc>
      </w:tr>
      <w:tr w:rsidR="003406F3" w:rsidRPr="003406F3" w14:paraId="635F2EFD" w14:textId="77777777" w:rsidTr="00B569A5">
        <w:trPr>
          <w:trHeight w:val="1241"/>
        </w:trPr>
        <w:tc>
          <w:tcPr>
            <w:tcW w:w="9010" w:type="dxa"/>
            <w:gridSpan w:val="3"/>
            <w:vAlign w:val="center"/>
          </w:tcPr>
          <w:p w14:paraId="34602AF3" w14:textId="1EB448F3" w:rsidR="00A03CF0" w:rsidRPr="003406F3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Qëllimi i seancës:</w:t>
            </w:r>
            <w:r>
              <w:rPr>
                <w:b/>
                <w:sz w:val="22"/>
                <w:rFonts w:ascii="Verdana" w:hAnsi="Verdana"/>
              </w:rPr>
              <w:t xml:space="preserve">  </w:t>
            </w:r>
          </w:p>
          <w:p w14:paraId="3FE58655" w14:textId="5B024F45" w:rsidR="00A03CF0" w:rsidRPr="003406F3" w:rsidRDefault="007B75A9" w:rsidP="005112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Qëllimi i përgjithshëm i kësaj seance është t'u ofrojë pjesëmarrësve një kuptim gjithëpërfshirës të mekanizmave të bashkëpunimit ndërkombëtar në çështjet e krimit kibernetik dhe provave elektronike, me fokus në dispozitat e Konventës së Budapestit.</w:t>
            </w:r>
          </w:p>
        </w:tc>
      </w:tr>
      <w:tr w:rsidR="003406F3" w:rsidRPr="003406F3" w14:paraId="1B5A80A7" w14:textId="77777777" w:rsidTr="00B569A5">
        <w:trPr>
          <w:trHeight w:val="2240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3406F3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Objektivat:</w:t>
            </w:r>
          </w:p>
          <w:p w14:paraId="3BEE7864" w14:textId="77777777" w:rsidR="005703B7" w:rsidRPr="003406F3" w:rsidRDefault="005703B7" w:rsidP="00CB3026">
            <w:pPr>
              <w:tabs>
                <w:tab w:val="left" w:pos="426"/>
                <w:tab w:val="left" w:pos="851"/>
              </w:tabs>
              <w:spacing w:before="120" w:after="120" w:line="280" w:lineRule="exact"/>
              <w:contextualSpacing/>
              <w:jc w:val="both"/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rFonts w:ascii="Verdana" w:hAnsi="Verdana"/>
              </w:rPr>
              <w:t xml:space="preserve">Në fund të orës së mësimit studentët do të jenë në gjendje të:</w:t>
            </w:r>
          </w:p>
          <w:p w14:paraId="468D77E8" w14:textId="3360A75B" w:rsidR="005703B7" w:rsidRPr="003406F3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Njohin dimensionin global të internetit dhe dimensionin ndërkombëtar të krimit kibernetik</w:t>
            </w:r>
          </w:p>
          <w:p w14:paraId="3C3DE87B" w14:textId="54FBA29A" w:rsidR="005703B7" w:rsidRPr="003406F3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Shpjegojnë rëndësinë e bashkëpunimit ndërkombëtar dhe njohin instrumentet në dispozicion për bashkëpunimin ndërkombëtar në fushën e krimit kibernetik</w:t>
            </w:r>
          </w:p>
          <w:p w14:paraId="23100547" w14:textId="77777777" w:rsidR="00E95703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i/>
                <w:szCs w:val="18"/>
              </w:rPr>
            </w:pPr>
            <w:r>
              <w:t xml:space="preserve">Identifikojnë nevojën për kanale shumë të shpejta dhe efikase për bashkëpunim ndërkombëtar dhe instrumentet në dispozicion, mënyrat e përdorimit të tyre, afatet kohore dhe efektivitetin</w:t>
            </w:r>
          </w:p>
          <w:p w14:paraId="0524678D" w14:textId="77777777" w:rsidR="0051122C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Përshkruajnë përpjekjet nga organizatat ndërkombëtare në lidhje me zbatimin e modaliteteve të reja të bashkëpunimit ndërkombëtar</w:t>
            </w:r>
          </w:p>
          <w:p w14:paraId="61ABEAC5" w14:textId="13C91BE0" w:rsidR="0051122C" w:rsidRPr="0051122C" w:rsidRDefault="0051122C" w:rsidP="0051122C">
            <w:pPr>
              <w:pStyle w:val="bul1"/>
              <w:spacing w:before="120" w:after="120" w:line="280" w:lineRule="exact"/>
              <w:ind w:left="697" w:hanging="360"/>
              <w:contextualSpacing/>
              <w:rPr>
                <w:szCs w:val="18"/>
              </w:rPr>
            </w:pPr>
            <w:r>
              <w:t xml:space="preserve">Diskutojnë Konventën e Budapestit për Krimin Kibernetik dhe identifikojnë parimet e saj të përgjithshme, masat e përkohshme dhe rrjetin 24/7 për bashkëpunim urgjent ndërkombëtar</w:t>
            </w:r>
          </w:p>
        </w:tc>
      </w:tr>
      <w:tr w:rsidR="003406F3" w:rsidRPr="003406F3" w14:paraId="03110757" w14:textId="77777777" w:rsidTr="00B569A5">
        <w:trPr>
          <w:trHeight w:val="1475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3F0CE4F6" w:rsidR="005703B7" w:rsidRPr="003406F3" w:rsidRDefault="00E95703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Udhëzimi për trajnerë</w:t>
            </w:r>
          </w:p>
          <w:p w14:paraId="5EFF4BEF" w14:textId="70DA5991" w:rsidR="007B75A9" w:rsidRPr="003406F3" w:rsidRDefault="00B569A5" w:rsidP="0094072C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Kjo seancë është përgatitur për t'u siguruar pjesëmarrësve një kuptim gjithëpërfshirës të mekanizmave të bashkëpunimit ndërkombëtar që kanë të bëjnë me krimin kibernetik dhe provat elektronike.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Kjo seancë është e ndarë në pesë pjesë, përveç një hyrjeje dhe një përfundimi.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parë mbulon dimensionin ndërkombëtar të krimit kibernetik.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dytë përfshin Konventën e Krimit Kibernetik dhe lidhjen e saj me mjetet e bashkëpunimit ndërkombëtar.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tretë ofron hyrje në aspektet e përgjithshme të bashkëpunimit ndërkombëtar të Konventës së Budapestit.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Pjesa e katërt paraqet hyrje në aspektet specifike të bashkëpunimit ndërkombëtar të Konventës së Budapestit.</w:t>
            </w:r>
          </w:p>
        </w:tc>
      </w:tr>
      <w:tr w:rsidR="003406F3" w:rsidRPr="003406F3" w14:paraId="7760520D" w14:textId="77777777" w:rsidTr="00E13BE7">
        <w:trPr>
          <w:trHeight w:val="701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3406F3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rFonts w:ascii="Verdana" w:hAnsi="Verdana"/>
              </w:rPr>
              <w:t xml:space="preserve">Përmbajtja e Mësimit</w:t>
            </w:r>
          </w:p>
        </w:tc>
      </w:tr>
      <w:tr w:rsidR="003406F3" w:rsidRPr="003406F3" w14:paraId="57CC7AA4" w14:textId="77777777" w:rsidTr="00CB3026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538C338" w14:textId="77777777" w:rsidR="00D82C18" w:rsidRPr="003406F3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Numrat e slajdeve</w:t>
            </w:r>
          </w:p>
        </w:tc>
        <w:tc>
          <w:tcPr>
            <w:tcW w:w="739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3406F3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Përmbajtja</w:t>
            </w:r>
          </w:p>
        </w:tc>
      </w:tr>
      <w:tr w:rsidR="003406F3" w:rsidRPr="003406F3" w14:paraId="11A12D7E" w14:textId="77777777" w:rsidTr="00DB09DC">
        <w:trPr>
          <w:trHeight w:val="530"/>
        </w:trPr>
        <w:tc>
          <w:tcPr>
            <w:tcW w:w="1615" w:type="dxa"/>
            <w:vAlign w:val="center"/>
          </w:tcPr>
          <w:p w14:paraId="5A89CF27" w14:textId="2FC41B30" w:rsidR="00D82C18" w:rsidRPr="003406F3" w:rsidRDefault="003630ED" w:rsidP="00DB09DC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 deri 3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281A5A31" w:rsidR="003630ED" w:rsidRPr="003406F3" w:rsidRDefault="00DB09DC" w:rsidP="00AF62E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para paraqesin strukturën dhe objektivat e kësaj seance.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Pjesëmarrësve do t'u jepet një mundësi për të bërë ndonjë pyetje paraprake që ata mund të kenë në lidhje me strukturën dhe objektivat e seancës.</w:t>
            </w:r>
          </w:p>
        </w:tc>
      </w:tr>
      <w:tr w:rsidR="003406F3" w:rsidRPr="003406F3" w14:paraId="65F07CB5" w14:textId="77777777" w:rsidTr="00C9640B">
        <w:trPr>
          <w:trHeight w:val="1876"/>
        </w:trPr>
        <w:tc>
          <w:tcPr>
            <w:tcW w:w="1615" w:type="dxa"/>
            <w:vAlign w:val="center"/>
          </w:tcPr>
          <w:p w14:paraId="6F5AEB2D" w14:textId="46D61EAC" w:rsidR="00D82C18" w:rsidRPr="003406F3" w:rsidRDefault="00DB09DC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4 deri 16</w:t>
            </w:r>
          </w:p>
        </w:tc>
        <w:tc>
          <w:tcPr>
            <w:tcW w:w="7395" w:type="dxa"/>
            <w:gridSpan w:val="2"/>
            <w:vAlign w:val="center"/>
          </w:tcPr>
          <w:p w14:paraId="51EA1F44" w14:textId="77777777" w:rsidR="00357C78" w:rsidRDefault="00CF0C7C" w:rsidP="00357C78">
            <w:pPr>
              <w:pStyle w:val="Subtitle"/>
              <w:spacing w:beforeLines="20" w:before="48" w:afterLines="20" w:after="48" w:line="280" w:lineRule="exact"/>
              <w:rPr>
                <w:szCs w:val="18"/>
                <w:rFonts w:ascii="Verdana" w:hAnsi="Verdana"/>
              </w:rPr>
            </w:pPr>
            <w:r>
              <w:rPr>
                <w:rFonts w:ascii="Verdana" w:hAnsi="Verdana"/>
              </w:rPr>
              <w:t xml:space="preserve">Këto slajde synojnë t'u sigurojnë pjesëmarrësve një kuptim në lidhje me dimensionin global të internetit dhe nevojën për bashkëpunim efektiv ndërkombëtar në çështjet e krimit kibernetik dhe provave elektronike.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Trajneri duhet të theksojë pyetjet e vështira që kanë të bëjnë me aspektet ndërkombëtare të krimeve kibernetike si konsiderata kryesore për pjesët pasuese të këtij moduli.</w:t>
            </w:r>
            <w:r>
              <w:rPr>
                <w:rFonts w:ascii="Verdana" w:hAnsi="Verdana"/>
              </w:rPr>
              <w:t xml:space="preserve"> </w:t>
            </w:r>
          </w:p>
          <w:p w14:paraId="26F13358" w14:textId="77777777" w:rsidR="00357C78" w:rsidRDefault="00357C78" w:rsidP="00357C78">
            <w:pPr>
              <w:pStyle w:val="Subtitle"/>
              <w:spacing w:beforeLines="20" w:before="48" w:afterLines="20" w:after="48" w:line="280" w:lineRule="exact"/>
              <w:rPr>
                <w:rFonts w:ascii="Verdana" w:hAnsi="Verdana"/>
                <w:szCs w:val="18"/>
              </w:rPr>
            </w:pPr>
          </w:p>
          <w:p w14:paraId="649FEA68" w14:textId="69BEB01E" w:rsidR="00357C78" w:rsidRPr="00357C78" w:rsidRDefault="00357C78" w:rsidP="00357C78">
            <w:pPr>
              <w:pStyle w:val="Subtitle"/>
              <w:spacing w:beforeLines="20" w:before="48" w:afterLines="20" w:after="48" w:line="280" w:lineRule="exact"/>
              <w:rPr>
                <w:szCs w:val="18"/>
                <w:rFonts w:ascii="Verdana" w:hAnsi="Verdana"/>
              </w:rPr>
            </w:pPr>
            <w:r>
              <w:rPr>
                <w:rFonts w:ascii="Verdana" w:hAnsi="Verdana"/>
              </w:rPr>
              <w:t xml:space="preserve">Gjithashtu, çështjet kryesore në formën e sfidave të ndihmës juridike ndërkombëtare paraqiten dhe shpjegohen.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Vëmendje shtesë është dhënë në lidhje me prezantimin dhe shpjegimin e koncepteve dhe sfidave për ndihmë juridike klasike reciproke dhe ndihmë administrative, ose ndihmë më të shpejtë, të cilat mund të japin rezultate ndonjëherë më të mira.</w:t>
            </w:r>
          </w:p>
        </w:tc>
      </w:tr>
      <w:tr w:rsidR="003406F3" w:rsidRPr="003406F3" w14:paraId="3236CF7B" w14:textId="77777777" w:rsidTr="001B428D">
        <w:trPr>
          <w:trHeight w:val="2015"/>
        </w:trPr>
        <w:tc>
          <w:tcPr>
            <w:tcW w:w="1615" w:type="dxa"/>
            <w:vAlign w:val="center"/>
          </w:tcPr>
          <w:p w14:paraId="63F93ACC" w14:textId="2DF29071" w:rsidR="00A00A58" w:rsidRPr="003406F3" w:rsidRDefault="00357C78" w:rsidP="00A00A58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17 deri 23</w:t>
            </w:r>
          </w:p>
        </w:tc>
        <w:tc>
          <w:tcPr>
            <w:tcW w:w="7395" w:type="dxa"/>
            <w:gridSpan w:val="2"/>
            <w:vAlign w:val="center"/>
          </w:tcPr>
          <w:p w14:paraId="1E90C6D7" w14:textId="77777777" w:rsidR="00175ADE" w:rsidRDefault="00357C78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Këto slajde paraqesin Kapitullin III të Konventës që përmban dispozitat në lidhje me ndihmën e ndërsjellë të lidhur me krimin tradicional dhe kompjuterik si dhe rregullat e ekstradimit.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Ai mbulon ndihmën e ndërsjellë tradicionale në dy situata: kur nuk ekziston asnjë bazë ligjore (traktati, legjislacioni reciprok, etj.) Ndërmjet palëve - në këtë rast zbatohen dispozitat e tij - dhe kur ekziston një bazë e tillë - në këtë rast rregullimet ekzistuese zbatohen gjithashtu për ndihmën sipas kësaj Konvente.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6B518A62" w14:textId="5AEA99B0" w:rsidR="009A46F5" w:rsidRPr="00357C78" w:rsidRDefault="009A46F5" w:rsidP="009A46F5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Gjithashtu, slajdet do të mbulojnë parimet themelore të traktateve dhe ligjeve ndërkombëtare që rregullojnë ndihmën e ndërsjellë juridike në çështjet penale.</w:t>
            </w:r>
          </w:p>
        </w:tc>
      </w:tr>
      <w:tr w:rsidR="003406F3" w:rsidRPr="003406F3" w14:paraId="5AA3C4AD" w14:textId="77777777" w:rsidTr="00CB3026">
        <w:trPr>
          <w:trHeight w:val="3158"/>
        </w:trPr>
        <w:tc>
          <w:tcPr>
            <w:tcW w:w="1615" w:type="dxa"/>
            <w:vAlign w:val="center"/>
          </w:tcPr>
          <w:p w14:paraId="07F9F799" w14:textId="7AB57110" w:rsidR="00A00A58" w:rsidRPr="003406F3" w:rsidRDefault="00DB09DC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24 deri 37</w:t>
            </w:r>
          </w:p>
        </w:tc>
        <w:tc>
          <w:tcPr>
            <w:tcW w:w="7395" w:type="dxa"/>
            <w:gridSpan w:val="2"/>
            <w:vAlign w:val="center"/>
          </w:tcPr>
          <w:p w14:paraId="6AEC905E" w14:textId="77777777" w:rsidR="009A46F5" w:rsidRDefault="00DB09DC" w:rsidP="009A46F5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color w:val="auto"/>
                <w:rFonts w:ascii="Verdana" w:hAnsi="Verdana"/>
              </w:rPr>
              <w:t xml:space="preserve">Këto slajde mbulojnë dispozitat e bashkëpunimit ndërkombëtar nën Kapitullin III të Konventës së Budapestit në lidhje me parimet e përgjithshme të NJN-së.</w:t>
            </w:r>
            <w:r>
              <w:rPr>
                <w:color w:val="auto"/>
                <w:rFonts w:ascii="Verdana" w:hAnsi="Verdana"/>
              </w:rPr>
              <w:t xml:space="preserve"> </w:t>
            </w:r>
            <w:r>
              <w:rPr>
                <w:color w:val="auto"/>
                <w:rFonts w:ascii="Verdana" w:hAnsi="Verdana"/>
              </w:rPr>
              <w:t xml:space="preserve">Më konkretisht, neni 25, 26 dhe 27.</w:t>
            </w:r>
            <w:r>
              <w:rPr>
                <w:color w:val="auto"/>
                <w:rFonts w:ascii="Verdana" w:hAnsi="Verdana"/>
              </w:rPr>
              <w:t xml:space="preserve"> </w:t>
            </w:r>
            <w:r>
              <w:rPr>
                <w:color w:val="auto"/>
                <w:rFonts w:ascii="Verdana" w:hAnsi="Verdana"/>
              </w:rPr>
              <w:t xml:space="preserve">Trajnerit i kërkohet të paraqesë tekstin dhe shpjegimet e hollësishme.</w:t>
            </w:r>
            <w:r>
              <w:rPr>
                <w:color w:val="auto"/>
                <w:rFonts w:ascii="Verdana" w:hAnsi="Verdana"/>
              </w:rPr>
              <w:t xml:space="preserve"> </w:t>
            </w:r>
          </w:p>
          <w:p w14:paraId="3A537EFC" w14:textId="77777777" w:rsidR="00F4792B" w:rsidRDefault="009A46F5" w:rsidP="00F4792B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hAnsi="Verdana" w:cs="Arial"/>
              </w:rPr>
            </w:pPr>
            <w:r>
              <w:rPr>
                <w:rFonts w:ascii="Verdana" w:hAnsi="Verdana"/>
              </w:rPr>
              <w:t xml:space="preserve">Dispozitat e këtij Kapitulli sqarojnë detyrimin për të siguruar ndihmë të ndërsjellë që zakonisht do të kryhet në përputhje me kushtet e traktateve të zbatueshme të ndihmës juridike, ligjeve dhe rregullimeve.</w:t>
            </w:r>
            <w:r>
              <w:rPr>
                <w:rFonts w:ascii="Verdana" w:hAnsi="Verdana"/>
              </w:rPr>
              <w:t xml:space="preserve"> </w:t>
            </w:r>
          </w:p>
          <w:p w14:paraId="233379EC" w14:textId="283DBC0A" w:rsidR="00F4792B" w:rsidRP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szCs w:val="18"/>
                <w:rFonts w:ascii="Verdana" w:hAnsi="Verdana" w:cs="Arial"/>
              </w:rPr>
            </w:pPr>
            <w:r>
              <w:rPr>
                <w:rFonts w:ascii="Verdana" w:hAnsi="Verdana"/>
              </w:rPr>
              <w:t xml:space="preserve">Udhëzimet e hollësishme të ekspertëve janë vendosur në pjesën e shënimeve të secilit slajd.</w:t>
            </w:r>
          </w:p>
          <w:p w14:paraId="1B9C6A39" w14:textId="00B0460E" w:rsidR="003406F3" w:rsidRPr="003406F3" w:rsidRDefault="00DB09DC" w:rsidP="00397FEA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Elementet e rëndësishme të secilit nen shënohen individualisht me tekst të kuq, dhe secili element i theksuar individual ndiqet nga slajdet me shpjegimet e elementit paraardhës.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</w:tc>
      </w:tr>
      <w:tr w:rsidR="00DB09DC" w:rsidRPr="003406F3" w14:paraId="29253992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7CB27A05" w14:textId="38D8C2BD" w:rsidR="00DB09DC" w:rsidRDefault="00F4792B" w:rsidP="00A45C00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38 deri 58</w:t>
            </w:r>
          </w:p>
        </w:tc>
        <w:tc>
          <w:tcPr>
            <w:tcW w:w="7395" w:type="dxa"/>
            <w:gridSpan w:val="2"/>
            <w:vAlign w:val="center"/>
          </w:tcPr>
          <w:p w14:paraId="0FE47FC1" w14:textId="77777777" w:rsid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color w:val="auto"/>
                <w:rFonts w:ascii="Verdana" w:hAnsi="Verdana"/>
              </w:rPr>
              <w:t xml:space="preserve">Këto slajde mbulojnë dispozitat e bashkëpunimit ndërkombëtar nën Kapitullin III të Konventës së Budapestit në lidhje me parimet e specifike të NJN-së.</w:t>
            </w:r>
            <w:r>
              <w:rPr>
                <w:color w:val="auto"/>
                <w:rFonts w:ascii="Verdana" w:hAnsi="Verdana"/>
              </w:rPr>
              <w:t xml:space="preserve"> </w:t>
            </w:r>
            <w:r>
              <w:rPr>
                <w:color w:val="auto"/>
                <w:rFonts w:ascii="Verdana" w:hAnsi="Verdana"/>
              </w:rPr>
              <w:t xml:space="preserve">Më konkretisht, nenet 29, 30, 31, 32, 33, 34 dhe 35.</w:t>
            </w:r>
            <w:r>
              <w:rPr>
                <w:color w:val="auto"/>
                <w:rFonts w:ascii="Verdana" w:hAnsi="Verdana"/>
              </w:rPr>
              <w:t xml:space="preserve"> </w:t>
            </w:r>
            <w:r>
              <w:rPr>
                <w:color w:val="auto"/>
                <w:rFonts w:ascii="Verdana" w:hAnsi="Verdana"/>
              </w:rPr>
              <w:t xml:space="preserve">Trajnerit i kërkohet të paraqesë tekstin dhe shpjegimet e hollësishme.</w:t>
            </w:r>
            <w:r>
              <w:rPr>
                <w:color w:val="auto"/>
                <w:rFonts w:ascii="Verdana" w:hAnsi="Verdana"/>
              </w:rPr>
              <w:t xml:space="preserve"> </w:t>
            </w:r>
          </w:p>
          <w:p w14:paraId="752D7BD5" w14:textId="57DB3747" w:rsidR="00F4792B" w:rsidRPr="00F4792B" w:rsidRDefault="00F4792B" w:rsidP="00F4792B">
            <w:pPr>
              <w:pStyle w:val="Subtitle"/>
              <w:spacing w:beforeLines="20" w:before="48" w:afterLines="120" w:after="288" w:line="280" w:lineRule="exact"/>
              <w:rPr>
                <w:color w:val="auto"/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Udhëzimet e hollësishme të ekspertëve janë vendosur në pjesën e shënimeve të secilit slajd.</w:t>
            </w:r>
          </w:p>
          <w:p w14:paraId="660000A2" w14:textId="6CF4A2D2" w:rsidR="00DB09DC" w:rsidRDefault="00F4792B" w:rsidP="00F4792B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rFonts w:ascii="Verdana" w:hAnsi="Verdana"/>
              </w:rPr>
              <w:t xml:space="preserve">Elementet e rëndësishme të secilit nen shënohen individualisht me tekst të kuq, dhe secili element i theksuar individual ndiqet nga slajdet me shpjegimet e elementit paraardhës.</w:t>
            </w:r>
          </w:p>
        </w:tc>
      </w:tr>
      <w:tr w:rsidR="003406F3" w:rsidRPr="003406F3" w14:paraId="07D9F9A7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0F0112E8" w14:textId="1FC9E5D5" w:rsidR="00A00A58" w:rsidRPr="003406F3" w:rsidRDefault="00AC475F" w:rsidP="00BB0093">
            <w:pPr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59 deri 61</w:t>
            </w:r>
          </w:p>
        </w:tc>
        <w:tc>
          <w:tcPr>
            <w:tcW w:w="7395" w:type="dxa"/>
            <w:gridSpan w:val="2"/>
            <w:vAlign w:val="center"/>
          </w:tcPr>
          <w:p w14:paraId="373F061B" w14:textId="67C52077" w:rsidR="00A00A58" w:rsidRPr="003406F3" w:rsidRDefault="00FC677E" w:rsidP="00B468A3">
            <w:pPr>
              <w:spacing w:before="120" w:after="120" w:line="280" w:lineRule="exact"/>
              <w:jc w:val="both"/>
              <w:rPr>
                <w:i/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Trajneri duhet të rishikojë objektivat e seancës me pjesëmarrësit dhe t'u japë atyre mundësinë për të bërë ndonjë pyetje në lidhje me materialet e përfshira në këtë modul.</w:t>
            </w:r>
          </w:p>
        </w:tc>
      </w:tr>
      <w:tr w:rsidR="003406F3" w:rsidRPr="003406F3" w14:paraId="2ECF09B7" w14:textId="77777777" w:rsidTr="00CB3026">
        <w:trPr>
          <w:trHeight w:val="1412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Ushtrime praktike</w:t>
            </w:r>
          </w:p>
          <w:p w14:paraId="04D65D89" w14:textId="6D5C4DD0" w:rsidR="00CB3026" w:rsidRPr="003406F3" w:rsidRDefault="00CB3026" w:rsidP="004639E3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Nuk ka ushtrime praktike të parapara me këtë mësim.</w:t>
            </w:r>
          </w:p>
        </w:tc>
      </w:tr>
      <w:tr w:rsidR="003406F3" w:rsidRPr="003406F3" w14:paraId="603967A2" w14:textId="77777777" w:rsidTr="00801300">
        <w:tc>
          <w:tcPr>
            <w:tcW w:w="9010" w:type="dxa"/>
            <w:gridSpan w:val="3"/>
            <w:vAlign w:val="center"/>
          </w:tcPr>
          <w:p w14:paraId="57B48D1E" w14:textId="77777777" w:rsidR="00CB3026" w:rsidRPr="003406F3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Vlerësimi/Kontrolli i njohurive</w:t>
            </w:r>
          </w:p>
          <w:p w14:paraId="4496975B" w14:textId="71EF14F8" w:rsidR="00CB3026" w:rsidRPr="003406F3" w:rsidRDefault="00B468A3" w:rsidP="00B468A3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Nuk është përgatitur vlerësim zyrtar për këtë seancë.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Trajneri inkurajohet të kontrollojë njohuritë dhe të kuptuarit duke bërë pyetje përkatëse gjatë gjithë seancës.</w:t>
            </w:r>
          </w:p>
        </w:tc>
      </w:tr>
    </w:tbl>
    <w:p w14:paraId="15498912" w14:textId="77777777" w:rsidR="00D82C18" w:rsidRPr="003406F3" w:rsidRDefault="00D82C18">
      <w:pPr>
        <w:rPr>
          <w:rFonts w:ascii="Verdana" w:hAnsi="Verdana"/>
        </w:rPr>
      </w:pPr>
    </w:p>
    <w:sectPr w:rsidR="00D82C18" w:rsidRPr="003406F3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imes New Roman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105DD4"/>
    <w:rsid w:val="00151ADF"/>
    <w:rsid w:val="00175ADE"/>
    <w:rsid w:val="00185B76"/>
    <w:rsid w:val="001B428D"/>
    <w:rsid w:val="001B5DAD"/>
    <w:rsid w:val="00271010"/>
    <w:rsid w:val="0027512B"/>
    <w:rsid w:val="002F375E"/>
    <w:rsid w:val="003406F3"/>
    <w:rsid w:val="00357C78"/>
    <w:rsid w:val="003630ED"/>
    <w:rsid w:val="00397FEA"/>
    <w:rsid w:val="003E0EDB"/>
    <w:rsid w:val="004639E3"/>
    <w:rsid w:val="0051122C"/>
    <w:rsid w:val="00534FB7"/>
    <w:rsid w:val="005703B7"/>
    <w:rsid w:val="00594B3F"/>
    <w:rsid w:val="005951B6"/>
    <w:rsid w:val="005A4E47"/>
    <w:rsid w:val="006B6864"/>
    <w:rsid w:val="006F4B1A"/>
    <w:rsid w:val="007169BB"/>
    <w:rsid w:val="00761BA4"/>
    <w:rsid w:val="007B75A9"/>
    <w:rsid w:val="00823B30"/>
    <w:rsid w:val="008E3FE7"/>
    <w:rsid w:val="009277BD"/>
    <w:rsid w:val="0094072C"/>
    <w:rsid w:val="009A46F5"/>
    <w:rsid w:val="00A00A58"/>
    <w:rsid w:val="00A03CF0"/>
    <w:rsid w:val="00A4110D"/>
    <w:rsid w:val="00A45C00"/>
    <w:rsid w:val="00A734A5"/>
    <w:rsid w:val="00AC475F"/>
    <w:rsid w:val="00AD2B58"/>
    <w:rsid w:val="00AF62EC"/>
    <w:rsid w:val="00B03741"/>
    <w:rsid w:val="00B468A3"/>
    <w:rsid w:val="00B569A5"/>
    <w:rsid w:val="00B71D66"/>
    <w:rsid w:val="00BB0093"/>
    <w:rsid w:val="00C541A2"/>
    <w:rsid w:val="00C9640B"/>
    <w:rsid w:val="00CB02C4"/>
    <w:rsid w:val="00CB3026"/>
    <w:rsid w:val="00CF0C7C"/>
    <w:rsid w:val="00D82C18"/>
    <w:rsid w:val="00D944B5"/>
    <w:rsid w:val="00DB09DC"/>
    <w:rsid w:val="00E13BE7"/>
    <w:rsid w:val="00E17E67"/>
    <w:rsid w:val="00E55549"/>
    <w:rsid w:val="00E7344B"/>
    <w:rsid w:val="00E95703"/>
    <w:rsid w:val="00EB11FC"/>
    <w:rsid w:val="00F35B67"/>
    <w:rsid w:val="00F4792B"/>
    <w:rsid w:val="00F62A15"/>
    <w:rsid w:val="00FC677E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D902590-5B3F-DC4A-B1B9-EFF6D9B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sq-AL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sq-AL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paragraph" w:styleId="NormalWeb">
    <w:name w:val="Normal (Web)"/>
    <w:basedOn w:val="Normal"/>
    <w:uiPriority w:val="99"/>
    <w:semiHidden/>
    <w:unhideWhenUsed/>
    <w:rsid w:val="00151A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B. Stam</cp:lastModifiedBy>
  <cp:revision>3</cp:revision>
  <dcterms:created xsi:type="dcterms:W3CDTF">2020-09-20T20:19:00Z</dcterms:created>
  <dcterms:modified xsi:type="dcterms:W3CDTF">2020-10-08T16:17:00Z</dcterms:modified>
</cp:coreProperties>
</file>