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576414B2" w:rsidR="00D82C18" w:rsidRPr="00B3608C" w:rsidRDefault="00B3608C" w:rsidP="000F7896">
      <w:pPr>
        <w:rPr>
          <w:rFonts w:ascii="Verdana" w:hAnsi="Verdana"/>
        </w:rPr>
      </w:pPr>
      <w:r>
        <w:rPr>
          <w:sz w:val="28"/>
          <w:rFonts w:ascii="Verdana" w:hAnsi="Verdana"/>
        </w:rPr>
        <w:t xml:space="preserve">Mësimi 2.5 </w:t>
      </w:r>
      <w:r>
        <w:rPr>
          <w:sz w:val="28"/>
          <w:color w:val="000000" w:themeColor="text1"/>
          <w:rFonts w:ascii="Verdana" w:hAnsi="Verdana"/>
        </w:rPr>
        <w:t xml:space="preserve">Kompetencat Procedurale sipas Konventës së Budapestit - Pjesa 2</w:t>
      </w:r>
    </w:p>
    <w:p w14:paraId="1D0E3DC5" w14:textId="77777777" w:rsidR="00C115FC" w:rsidRPr="00C115FC" w:rsidRDefault="00C115FC" w:rsidP="00C115FC">
      <w:pPr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D82C1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6342DA76" w:rsidR="00D82C18" w:rsidRPr="00D82C18" w:rsidRDefault="00C115FC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Mësimi 2.5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Kompetencat Procedurale sipas Konventës së Budapestit - Pjesa 2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24980FBA" w:rsidR="00D82C18" w:rsidRPr="00D82C18" w:rsidRDefault="00D82C18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Kohëzgjatja:</w:t>
            </w:r>
            <w:r>
              <w:rPr>
                <w:sz w:val="22"/>
                <w:rFonts w:ascii="Verdana" w:hAnsi="Verdana"/>
              </w:rPr>
              <w:t xml:space="preserve">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90 minuta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 </w:t>
            </w:r>
          </w:p>
        </w:tc>
      </w:tr>
      <w:tr w:rsidR="00E7344B" w:rsidRPr="00D82C18" w14:paraId="7C1107AB" w14:textId="77777777" w:rsidTr="00A439ED">
        <w:trPr>
          <w:trHeight w:val="1727"/>
        </w:trPr>
        <w:tc>
          <w:tcPr>
            <w:tcW w:w="9010" w:type="dxa"/>
            <w:gridSpan w:val="3"/>
            <w:vAlign w:val="center"/>
          </w:tcPr>
          <w:p w14:paraId="0B1C3404" w14:textId="53612A3F" w:rsidR="00E7344B" w:rsidRPr="000F7896" w:rsidRDefault="00E7344B" w:rsidP="000F7896">
            <w:pPr>
              <w:spacing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Burimet e nevojshme:</w:t>
            </w:r>
            <w:r>
              <w:rPr>
                <w:b/>
                <w:sz w:val="22"/>
                <w:rFonts w:ascii="Verdana" w:hAnsi="Verdana"/>
              </w:rPr>
              <w:t xml:space="preserve"> </w:t>
            </w:r>
          </w:p>
          <w:p w14:paraId="060400D8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PC/Laptop ngarkuar me versione softuerësh të pajtueshëm me materialet e përgatitura</w:t>
            </w:r>
            <w:r>
              <w:t xml:space="preserve"> </w:t>
            </w:r>
          </w:p>
          <w:p w14:paraId="62A10C2C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Qasje në internet (nëse ka)</w:t>
            </w:r>
            <w:r>
              <w:t xml:space="preserve"> </w:t>
            </w:r>
          </w:p>
          <w:p w14:paraId="575CEC8B" w14:textId="7FC1824F" w:rsidR="000F7896" w:rsidRPr="00AC1380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PowerPoint apo prezantime tjera</w:t>
            </w:r>
            <w:r>
              <w:t xml:space="preserve"> </w:t>
            </w:r>
          </w:p>
          <w:p w14:paraId="14CF9EF0" w14:textId="1ED885BC" w:rsidR="000F7896" w:rsidRPr="00A439ED" w:rsidRDefault="000F7896" w:rsidP="00A439ED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Kopje e Konventës së Budapestit</w:t>
            </w:r>
          </w:p>
        </w:tc>
      </w:tr>
      <w:tr w:rsidR="00E7344B" w:rsidRPr="00D82C18" w14:paraId="635F2EFD" w14:textId="77777777" w:rsidTr="00F1574D">
        <w:trPr>
          <w:trHeight w:val="2879"/>
        </w:trPr>
        <w:tc>
          <w:tcPr>
            <w:tcW w:w="9010" w:type="dxa"/>
            <w:gridSpan w:val="3"/>
            <w:vAlign w:val="center"/>
          </w:tcPr>
          <w:p w14:paraId="34602AF3" w14:textId="77777777" w:rsidR="00A03CF0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Qëllimi i seancës:</w:t>
            </w:r>
            <w:r>
              <w:rPr>
                <w:b/>
                <w:sz w:val="22"/>
                <w:rFonts w:ascii="Verdana" w:hAnsi="Verdana"/>
              </w:rPr>
              <w:t xml:space="preserve">  </w:t>
            </w:r>
          </w:p>
          <w:p w14:paraId="3FE58655" w14:textId="07BE3037" w:rsidR="00A03CF0" w:rsidRPr="000F7896" w:rsidRDefault="00BA7368" w:rsidP="00FA5D5D">
            <w:pPr>
              <w:spacing w:before="120" w:after="120" w:line="280" w:lineRule="exact"/>
              <w:jc w:val="both"/>
              <w:rPr>
                <w:i/>
                <w:color w:val="FF0000"/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Qëllimi i kësaj seance është t'u ofrojë pjesëmarrësve një kuptim gjithëpërfshirës të elementeve të kompetencave procedurale që lidhen me kontrollin dhe sekuestrimin e të dhënave të ruajtura kompjuterike, mbledhjen në kohë reale të të dhënave të trafikut dhe përgjimin e të dhënave të përmbajtjes, si dhe fushëveprimin juridiksional të Konventës së Budapestit.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Seanca përfshin, në detaje, secilin element të nenit 19 (kontrolli dhe sekuestrimi), neni 20 (mbledhja në kohë reale e të dhënave të trafikut), neni 21 (përgjimi i të dhënave të përmbajtjes) dhe neni 22 (juridiksioni).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</w:tc>
      </w:tr>
      <w:tr w:rsidR="00A03CF0" w:rsidRPr="00D82C18" w14:paraId="1B5A80A7" w14:textId="77777777" w:rsidTr="00221092">
        <w:trPr>
          <w:trHeight w:val="53"/>
        </w:trPr>
        <w:tc>
          <w:tcPr>
            <w:tcW w:w="9010" w:type="dxa"/>
            <w:gridSpan w:val="3"/>
            <w:vAlign w:val="center"/>
          </w:tcPr>
          <w:p w14:paraId="51C5C5B8" w14:textId="77777777" w:rsidR="0099769B" w:rsidRPr="00271010" w:rsidRDefault="0099769B" w:rsidP="0099769B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Objektivat:</w:t>
            </w:r>
          </w:p>
          <w:p w14:paraId="2B3F10F1" w14:textId="77777777" w:rsidR="0099769B" w:rsidRPr="00AC1380" w:rsidRDefault="0099769B" w:rsidP="0099769B">
            <w:pPr>
              <w:tabs>
                <w:tab w:val="left" w:pos="426"/>
                <w:tab w:val="left" w:pos="851"/>
              </w:tabs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rFonts w:ascii="Verdana" w:hAnsi="Verdana"/>
              </w:rPr>
              <w:t xml:space="preserve">Deri në fund të kësaj seance pjesëmarrësit do të jenë në gjendje të:</w:t>
            </w:r>
          </w:p>
          <w:p w14:paraId="2D79B303" w14:textId="77777777" w:rsidR="00394E20" w:rsidRPr="00394E20" w:rsidRDefault="00FC23CB" w:rsidP="0099769B">
            <w:pPr>
              <w:pStyle w:val="bul1"/>
              <w:numPr>
                <w:ilvl w:val="0"/>
                <w:numId w:val="11"/>
              </w:numPr>
            </w:pPr>
            <w:r>
              <w:t xml:space="preserve">Identifikojnë elementet e kompetencave procedurale të:</w:t>
            </w:r>
            <w:r>
              <w:t xml:space="preserve">  </w:t>
            </w:r>
          </w:p>
          <w:p w14:paraId="30D53C2E" w14:textId="77777777" w:rsidR="00394E20" w:rsidRPr="00394E20" w:rsidRDefault="0099769B" w:rsidP="0099769B">
            <w:pPr>
              <w:pStyle w:val="bul1"/>
              <w:numPr>
                <w:ilvl w:val="0"/>
                <w:numId w:val="12"/>
              </w:numPr>
            </w:pPr>
            <w:r>
              <w:t xml:space="preserve">Kontrollit dhe sekuestrimit të të dhënave të ruajtura kompjuterike</w:t>
            </w:r>
            <w:r>
              <w:t xml:space="preserve"> </w:t>
            </w:r>
          </w:p>
          <w:p w14:paraId="7F726C20" w14:textId="77777777" w:rsidR="00394E20" w:rsidRPr="00394E20" w:rsidRDefault="0099769B" w:rsidP="0099769B">
            <w:pPr>
              <w:pStyle w:val="bul1"/>
              <w:numPr>
                <w:ilvl w:val="0"/>
                <w:numId w:val="12"/>
              </w:numPr>
            </w:pPr>
            <w:r>
              <w:t xml:space="preserve">Mbledhjen në kohë reale të të dhënave të trafikut</w:t>
            </w:r>
          </w:p>
          <w:p w14:paraId="63AB0966" w14:textId="77777777" w:rsidR="0099769B" w:rsidRPr="00192BC7" w:rsidRDefault="0099769B" w:rsidP="0099769B">
            <w:pPr>
              <w:pStyle w:val="bul1"/>
              <w:numPr>
                <w:ilvl w:val="0"/>
                <w:numId w:val="12"/>
              </w:numPr>
            </w:pPr>
            <w:r>
              <w:t xml:space="preserve">Përgjimin e të dhënave rreth përmbajtjes.</w:t>
            </w:r>
          </w:p>
          <w:p w14:paraId="61ABEAC5" w14:textId="33947EF9" w:rsidR="001E7389" w:rsidRPr="0099769B" w:rsidRDefault="0099769B" w:rsidP="0099769B">
            <w:pPr>
              <w:pStyle w:val="bul1"/>
              <w:numPr>
                <w:ilvl w:val="0"/>
                <w:numId w:val="11"/>
              </w:numPr>
            </w:pPr>
            <w:r>
              <w:t xml:space="preserve">Kuptojnë fushëveprimin e juridiksionit të Konventës së Budapestit.</w:t>
            </w:r>
          </w:p>
        </w:tc>
      </w:tr>
      <w:tr w:rsidR="005703B7" w:rsidRPr="00D82C18" w14:paraId="03110757" w14:textId="77777777" w:rsidTr="00AC45A8">
        <w:trPr>
          <w:trHeight w:val="5802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77777777" w:rsidR="005703B7" w:rsidRPr="002F3B54" w:rsidRDefault="00E95703" w:rsidP="00F62A15">
            <w:pPr>
              <w:spacing w:before="120" w:after="120" w:line="280" w:lineRule="exact"/>
              <w:rPr>
                <w:b/>
                <w:color w:val="000000" w:themeColor="text1"/>
                <w:sz w:val="22"/>
                <w:szCs w:val="22"/>
                <w:rFonts w:ascii="Verdana" w:hAnsi="Verdana"/>
              </w:rPr>
            </w:pPr>
            <w:r>
              <w:rPr>
                <w:b/>
                <w:color w:val="000000" w:themeColor="text1"/>
                <w:sz w:val="22"/>
                <w:rFonts w:ascii="Verdana" w:hAnsi="Verdana"/>
              </w:rPr>
              <w:t xml:space="preserve">Udhëzimi për trajnerë</w:t>
            </w:r>
          </w:p>
          <w:p w14:paraId="3D135B9C" w14:textId="4F345744" w:rsidR="0099769B" w:rsidRDefault="0099769B" w:rsidP="0099769B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Kjo seancë është përgatitur për t'u ofruar pjesëmarrësve një kuptim gjithëpërfshirës të dispozitave të ligjit procedural të përshkruara në Kapitullin II Seksioni 2.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Kjo seancë është e ndarë në katër pjesë, përveç një hyrjeje dhe një përfundimi.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parë përfshin kontrollin dhe sekuestrimin e të dhënave të ruajtura në kompjuterë.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dytë përfshin mbledhjen në kohë reale të të dhënave të trafikut.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tretë mbulon përgjimin e të dhënave të përmbajtjes.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katërt mbulon fushëveprimin e juridiksionit të Konventës së Budapestit.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4F3DE3CE" w14:textId="77777777" w:rsidR="00FC23CB" w:rsidRDefault="0099769B" w:rsidP="0099769B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Para prezantimit të kësaj seance, rekomandohet që trajneri të rishikojë paragrafët 184 - 239 të këtij ligji </w:t>
            </w:r>
            <w:hyperlink r:id="rId5" w:history="1">
              <w:r>
                <w:rPr>
                  <w:rStyle w:val="Hyperlink"/>
                  <w:sz w:val="18"/>
                  <w:rFonts w:ascii="Verdana" w:hAnsi="Verdana"/>
                </w:rPr>
                <w:t xml:space="preserve">Raport shpjegues për Konventën për krimin kibernetik</w:t>
              </w:r>
            </w:hyperlink>
            <w:r>
              <w:rPr>
                <w:sz w:val="18"/>
                <w:rFonts w:ascii="Verdana" w:hAnsi="Verdana"/>
              </w:rPr>
              <w:t xml:space="preserve">.</w:t>
            </w:r>
          </w:p>
          <w:p w14:paraId="5EFF4BEF" w14:textId="1459421C" w:rsidR="00070C94" w:rsidRPr="00E95703" w:rsidRDefault="00070C94" w:rsidP="0099769B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Trajneri mund të dëshirojë të inkurajojë një diskutim rreth mënyrës se si secila prej dispozitave të përfshira në këtë seancë është krijuar në bazë të ligjit vendor.</w:t>
            </w:r>
          </w:p>
        </w:tc>
      </w:tr>
      <w:tr w:rsidR="005A4E47" w:rsidRPr="00D82C1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CB3026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rFonts w:ascii="Verdana" w:hAnsi="Verdana"/>
              </w:rPr>
              <w:t xml:space="preserve">Përmbajtja e Mësimit</w:t>
            </w:r>
          </w:p>
        </w:tc>
      </w:tr>
      <w:tr w:rsidR="00F1574D" w:rsidRPr="00D82C1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7777777" w:rsidR="00D82C18" w:rsidRPr="00E13BE7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Numrat e slajdeve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E13BE7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Përmbajtja</w:t>
            </w:r>
          </w:p>
        </w:tc>
      </w:tr>
      <w:tr w:rsidR="00F1574D" w:rsidRPr="00D82C18" w14:paraId="11A12D7E" w14:textId="77777777" w:rsidTr="000F04E4">
        <w:trPr>
          <w:trHeight w:val="591"/>
        </w:trPr>
        <w:tc>
          <w:tcPr>
            <w:tcW w:w="1525" w:type="dxa"/>
            <w:vAlign w:val="center"/>
          </w:tcPr>
          <w:p w14:paraId="67083237" w14:textId="207A1282" w:rsidR="00D82C18" w:rsidRDefault="003630E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 deri 4</w:t>
            </w:r>
          </w:p>
          <w:p w14:paraId="5A89CF27" w14:textId="6863FBB0" w:rsidR="00F1574D" w:rsidRPr="00F62A15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4EFB5D9E" w:rsidR="00556D69" w:rsidRPr="00C70C5C" w:rsidRDefault="00556D69" w:rsidP="00314D32">
            <w:pPr>
              <w:spacing w:before="120" w:after="120" w:line="360" w:lineRule="auto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Slajdet e para janë hyrja në seancë dhe përfshijnë agjendën dhe objektivat e seancës.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</w:tc>
      </w:tr>
      <w:tr w:rsidR="00F1574D" w:rsidRPr="00D82C18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56AF6365" w14:textId="3F730876" w:rsidR="00D82C18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5 deri 18</w:t>
            </w:r>
          </w:p>
          <w:p w14:paraId="6F5AEB2D" w14:textId="242338E2" w:rsidR="00F1574D" w:rsidRPr="003630ED" w:rsidRDefault="00BA7368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73838076" w14:textId="1A5A96D2" w:rsidR="00E66317" w:rsidRPr="00D01845" w:rsidRDefault="00E66317" w:rsidP="00E66317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dispozitat e ligjit procedural në lidhje me kontrollin dhe sekuestrimin e të dhënave të ruajtura kompjuterike sipas nenit 19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16E41572" w14:textId="5D0A1C62" w:rsidR="00E66317" w:rsidRPr="00D01845" w:rsidRDefault="00E66317" w:rsidP="00E66317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i parë i slajdeve ofron një përmbledhje të kompetencave sipas nenit 19 të Konventës së Budapestit.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Ai gjithashtu ofron dy raste studimore për të demonstruar mënyra të ndryshme në të cilat kjo kompetencë ushtrohet duke përfshirë kapjen e pajisjeve fizike të ruajtjes së të dhënave dhe bërjen e të dhënave kompjuterike të paarritshme.</w:t>
            </w:r>
            <w:r>
              <w:rPr>
                <w:rFonts w:ascii="Verdana" w:hAnsi="Verdana"/>
              </w:rPr>
              <w:t xml:space="preserve"> </w:t>
            </w:r>
          </w:p>
          <w:p w14:paraId="649FEA68" w14:textId="0619C603" w:rsidR="00DD3B85" w:rsidRPr="00150201" w:rsidRDefault="00E66317" w:rsidP="00150201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është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19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19 të Konventës së Budapestit.</w:t>
            </w:r>
          </w:p>
        </w:tc>
      </w:tr>
      <w:tr w:rsidR="00F1574D" w:rsidRPr="00D82C18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5EBB803A" w14:textId="070DD26F" w:rsidR="00556D69" w:rsidRDefault="00150201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19 deri 29</w:t>
            </w:r>
          </w:p>
          <w:p w14:paraId="65C32028" w14:textId="2E212042" w:rsidR="00F1574D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46AACDEB" w14:textId="135C749A" w:rsidR="00E66317" w:rsidRPr="00E66317" w:rsidRDefault="00E66317" w:rsidP="001737D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dispozitat e ligjit procedural në lidhje me mbledhjen në kohë reale të të dhënave të trafikut sipas nenit 20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21AA9A06" w14:textId="7E68E365" w:rsidR="00E66317" w:rsidRPr="00E66317" w:rsidRDefault="00E66317" w:rsidP="001737D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Slajdet e para ofrojnë një përmbledhje të kompetencave sipas nenit 20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09B58FC0" w14:textId="5A30C9B8" w:rsidR="00C70C5C" w:rsidRPr="00C70C5C" w:rsidRDefault="00E66317" w:rsidP="001737D1">
            <w:pPr>
              <w:spacing w:line="360" w:lineRule="auto"/>
              <w:jc w:val="both"/>
            </w:pPr>
            <w:r>
              <w:rPr>
                <w:sz w:val="18"/>
                <w:rFonts w:ascii="Verdana" w:hAnsi="Verdana"/>
              </w:rPr>
              <w:t xml:space="preserve">Grupi tjetër i slajdeve është ndarë në dy kolona.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Kolona në anën e majtë përsërit tekstin e nenit 20 të Konventës së Budapestit me një element të veçantë të theksuar, ndërsa kolona në anën e djathtë ofron një shpjegim të elementit të theksuar.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Trajneri pritet të kalojë nëpër secilin element, për t'u ofruar pjesëmarrësve një kuptim gjithëpërfshirës të nenit 20 të Konventës së Budapestit.</w:t>
            </w:r>
          </w:p>
        </w:tc>
      </w:tr>
      <w:tr w:rsidR="00F1574D" w:rsidRPr="00D82C18" w14:paraId="4F010995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15E808BA" w14:textId="6D01DD51" w:rsidR="00556D69" w:rsidRDefault="00150201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30 deri 42</w:t>
            </w:r>
          </w:p>
          <w:p w14:paraId="48504862" w14:textId="307D4B02" w:rsidR="00C70C5C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2E234509" w14:textId="5B3BAF8A" w:rsidR="001737D1" w:rsidRPr="001737D1" w:rsidRDefault="001737D1" w:rsidP="001737D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dispozitat e ligjit procedural në lidhje me përgjimin e të dhënave rreth përmbajtjes sipas nenit 21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1A1C3008" w14:textId="4D29001A" w:rsidR="001737D1" w:rsidRPr="001737D1" w:rsidRDefault="001737D1" w:rsidP="001737D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i parë i slajdeve ofron një përmbledhje të kompetencave sipas nenit 21 të Konventës së Budapestit.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Ai gjithashtu ofron një studim rasti të përgjimit të të dhënave të përmbajtjes në lidhje me një rrjet të bisedave të krimit që përdoret nga dhjetëra mijëra kriminelë.</w:t>
            </w:r>
            <w:r>
              <w:rPr>
                <w:rFonts w:ascii="Verdana" w:hAnsi="Verdana"/>
              </w:rPr>
              <w:t xml:space="preserve"> </w:t>
            </w:r>
          </w:p>
          <w:p w14:paraId="4AF5B3D7" w14:textId="25CE2594" w:rsidR="00DD3B85" w:rsidRPr="00C70C5C" w:rsidRDefault="001737D1" w:rsidP="00150201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sz w:val="18"/>
                <w:rFonts w:ascii="Verdana" w:hAnsi="Verdana"/>
              </w:rPr>
              <w:t xml:space="preserve">Grupi tjetër i slajdeve është ndarë në dy kolona.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Kolona në anën e majtë përsërit tekstin e nenit 21 të Konventës së Budapestit me një element të veçantë të theksuar, ndërsa kolona në anën e djathtë ofron një shpjegim të elementit të theksuar.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Trajneri pritet të kalojë nëpër secilin element, për t'u ofruar pjesëmarrësve një kuptim gjithëpërfshirës të nenit 21 të Konventës së Budapestit.</w:t>
            </w:r>
          </w:p>
        </w:tc>
      </w:tr>
      <w:tr w:rsidR="00CA481B" w:rsidRPr="00D82C18" w14:paraId="3ECBAC2B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46472C8E" w14:textId="3DE64783" w:rsidR="00CA481B" w:rsidRDefault="00150201" w:rsidP="00CA481B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43 deri 50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74E2783E" w14:textId="338530D5" w:rsidR="00CA481B" w:rsidRDefault="00CA481B" w:rsidP="00CA481B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7051C09D" w14:textId="440353EC" w:rsidR="00E27C71" w:rsidRPr="00E66317" w:rsidRDefault="00E27C71" w:rsidP="00E27C7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fushën juridiksionale të Konventës së Budapestit siç përshkruhet në nenin 22.</w:t>
            </w:r>
            <w:r>
              <w:rPr>
                <w:rFonts w:ascii="Verdana" w:hAnsi="Verdana"/>
              </w:rPr>
              <w:t xml:space="preserve"> </w:t>
            </w:r>
          </w:p>
          <w:p w14:paraId="0B5729F2" w14:textId="4CF22B52" w:rsidR="00E27C71" w:rsidRPr="00E66317" w:rsidRDefault="00E27C71" w:rsidP="00E27C71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Slajdi i parë ofron një përmbledhje të fushëveprimit juridiksional sipas nenit 22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2F2BCFB2" w14:textId="28670B0C" w:rsidR="00CA481B" w:rsidRDefault="00E27C71" w:rsidP="00E27C71">
            <w:pPr>
              <w:pStyle w:val="Subtitle"/>
              <w:spacing w:line="360" w:lineRule="auto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është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22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22 të Konventës së Budapestit.</w:t>
            </w:r>
          </w:p>
        </w:tc>
      </w:tr>
      <w:tr w:rsidR="00CA481B" w:rsidRPr="00D82C18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A87A945" w14:textId="12239A1B" w:rsidR="00CA481B" w:rsidRDefault="00150201" w:rsidP="00CA481B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51 deri 52</w:t>
            </w:r>
          </w:p>
          <w:p w14:paraId="5DE9D224" w14:textId="2175AE8F" w:rsidR="00CA481B" w:rsidRPr="006527C6" w:rsidRDefault="00CA481B" w:rsidP="00CA481B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rëndësishme</w:t>
            </w:r>
          </w:p>
        </w:tc>
        <w:tc>
          <w:tcPr>
            <w:tcW w:w="7485" w:type="dxa"/>
            <w:gridSpan w:val="2"/>
            <w:vAlign w:val="center"/>
          </w:tcPr>
          <w:p w14:paraId="6E2FA816" w14:textId="6DB8BFB8" w:rsidR="00CA481B" w:rsidRPr="00314D32" w:rsidRDefault="00221092" w:rsidP="00CA481B">
            <w:pPr>
              <w:pStyle w:val="Subtitle"/>
              <w:spacing w:line="360" w:lineRule="auto"/>
            </w:pPr>
            <w:r>
              <w:rPr>
                <w:rFonts w:ascii="Verdana" w:hAnsi="Verdana"/>
              </w:rPr>
              <w:t xml:space="preserve">Trajneri duhet të rishikojë objektivat e seancës me pjesëmarrësit dhe t'u japë atyre mundësinë për të bërë ndonjë pyetje në lidhje me materialet e përfshira në këtë modul.</w:t>
            </w:r>
          </w:p>
        </w:tc>
      </w:tr>
      <w:tr w:rsidR="00CA481B" w:rsidRPr="00D82C1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77777777" w:rsidR="00CA481B" w:rsidRDefault="00CA481B" w:rsidP="00CA481B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Ushtrime praktike</w:t>
            </w:r>
          </w:p>
          <w:p w14:paraId="04D65D89" w14:textId="53DBD58E" w:rsidR="00CA481B" w:rsidRPr="00CB3026" w:rsidRDefault="00CA481B" w:rsidP="00CA481B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Nuk ka ushtrime praktike të lidhura me këtë orë mësimore.</w:t>
            </w:r>
          </w:p>
        </w:tc>
      </w:tr>
      <w:tr w:rsidR="00CA481B" w:rsidRPr="00D82C1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777777" w:rsidR="00CA481B" w:rsidRDefault="00CA481B" w:rsidP="00CA481B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Vlerësimi/Kontrolli i njohurive</w:t>
            </w:r>
          </w:p>
          <w:p w14:paraId="4496975B" w14:textId="1B3740FD" w:rsidR="00CA481B" w:rsidRPr="00CB3026" w:rsidRDefault="00CA481B" w:rsidP="00CA481B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Asnjë kontroll ose vlerësim i njohurive nuk është kërkuar për këtë seancë.</w:t>
            </w:r>
          </w:p>
        </w:tc>
      </w:tr>
    </w:tbl>
    <w:p w14:paraId="15498912" w14:textId="77777777" w:rsidR="00D82C18" w:rsidRPr="00D82C18" w:rsidRDefault="00D82C18">
      <w:pPr>
        <w:rPr>
          <w:rFonts w:ascii="Verdana" w:hAnsi="Verdana"/>
        </w:rPr>
      </w:pPr>
    </w:p>
    <w:sectPr w:rsidR="00D82C18" w:rsidRPr="00D82C18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48348D"/>
    <w:multiLevelType w:val="hybridMultilevel"/>
    <w:tmpl w:val="A1FA8F48"/>
    <w:lvl w:ilvl="0" w:tplc="28964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7924">
      <w:numFmt w:val="none"/>
      <w:lvlText w:val=""/>
      <w:lvlJc w:val="left"/>
      <w:pPr>
        <w:tabs>
          <w:tab w:val="num" w:pos="360"/>
        </w:tabs>
      </w:pPr>
    </w:lvl>
    <w:lvl w:ilvl="2" w:tplc="BCA22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A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4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03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7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C5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2058DF"/>
    <w:multiLevelType w:val="hybridMultilevel"/>
    <w:tmpl w:val="FE9681DE"/>
    <w:lvl w:ilvl="0" w:tplc="0A8AC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26929"/>
    <w:multiLevelType w:val="hybridMultilevel"/>
    <w:tmpl w:val="EF72A9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004EF1"/>
    <w:rsid w:val="000160F1"/>
    <w:rsid w:val="00051376"/>
    <w:rsid w:val="00070C94"/>
    <w:rsid w:val="000C40EE"/>
    <w:rsid w:val="000D0409"/>
    <w:rsid w:val="000F04E4"/>
    <w:rsid w:val="000F7896"/>
    <w:rsid w:val="00150201"/>
    <w:rsid w:val="001737D1"/>
    <w:rsid w:val="001D2D02"/>
    <w:rsid w:val="001D603D"/>
    <w:rsid w:val="001E7389"/>
    <w:rsid w:val="00207B05"/>
    <w:rsid w:val="00221092"/>
    <w:rsid w:val="00271010"/>
    <w:rsid w:val="002E27B4"/>
    <w:rsid w:val="002E3ECE"/>
    <w:rsid w:val="002F3B54"/>
    <w:rsid w:val="00314D32"/>
    <w:rsid w:val="0034224C"/>
    <w:rsid w:val="00342639"/>
    <w:rsid w:val="003453F7"/>
    <w:rsid w:val="003630ED"/>
    <w:rsid w:val="00372572"/>
    <w:rsid w:val="003A435F"/>
    <w:rsid w:val="003F6587"/>
    <w:rsid w:val="00437AF3"/>
    <w:rsid w:val="00450007"/>
    <w:rsid w:val="00457DD3"/>
    <w:rsid w:val="00491C99"/>
    <w:rsid w:val="004B5101"/>
    <w:rsid w:val="004B7351"/>
    <w:rsid w:val="00514FE0"/>
    <w:rsid w:val="00556D69"/>
    <w:rsid w:val="005703B7"/>
    <w:rsid w:val="00573D00"/>
    <w:rsid w:val="005A4E47"/>
    <w:rsid w:val="005D4432"/>
    <w:rsid w:val="006527C6"/>
    <w:rsid w:val="00671ADF"/>
    <w:rsid w:val="006B0B52"/>
    <w:rsid w:val="006B3820"/>
    <w:rsid w:val="0075334E"/>
    <w:rsid w:val="007678A6"/>
    <w:rsid w:val="00775CE6"/>
    <w:rsid w:val="007E3B3E"/>
    <w:rsid w:val="00844FBF"/>
    <w:rsid w:val="008817F1"/>
    <w:rsid w:val="008A4C93"/>
    <w:rsid w:val="008C3900"/>
    <w:rsid w:val="008E3FE7"/>
    <w:rsid w:val="00906F18"/>
    <w:rsid w:val="00951791"/>
    <w:rsid w:val="00956062"/>
    <w:rsid w:val="0099769B"/>
    <w:rsid w:val="009B4375"/>
    <w:rsid w:val="009D1DB1"/>
    <w:rsid w:val="009E1390"/>
    <w:rsid w:val="009E3827"/>
    <w:rsid w:val="009F336B"/>
    <w:rsid w:val="00A03CF0"/>
    <w:rsid w:val="00A31A58"/>
    <w:rsid w:val="00A342ED"/>
    <w:rsid w:val="00A4110D"/>
    <w:rsid w:val="00A439ED"/>
    <w:rsid w:val="00A55067"/>
    <w:rsid w:val="00A734A5"/>
    <w:rsid w:val="00A76996"/>
    <w:rsid w:val="00A94D8B"/>
    <w:rsid w:val="00AA5742"/>
    <w:rsid w:val="00AC1380"/>
    <w:rsid w:val="00AC45A8"/>
    <w:rsid w:val="00B3608C"/>
    <w:rsid w:val="00B807DF"/>
    <w:rsid w:val="00BA7368"/>
    <w:rsid w:val="00C115FC"/>
    <w:rsid w:val="00C541A2"/>
    <w:rsid w:val="00C70C5C"/>
    <w:rsid w:val="00C83397"/>
    <w:rsid w:val="00CA481B"/>
    <w:rsid w:val="00CB02C4"/>
    <w:rsid w:val="00CB3026"/>
    <w:rsid w:val="00CC1F79"/>
    <w:rsid w:val="00D82C18"/>
    <w:rsid w:val="00DD3B85"/>
    <w:rsid w:val="00E13BE7"/>
    <w:rsid w:val="00E27C71"/>
    <w:rsid w:val="00E66317"/>
    <w:rsid w:val="00E7344B"/>
    <w:rsid w:val="00E95703"/>
    <w:rsid w:val="00F1574D"/>
    <w:rsid w:val="00F504D6"/>
    <w:rsid w:val="00F62A15"/>
    <w:rsid w:val="00F955B5"/>
    <w:rsid w:val="00FA5D5D"/>
    <w:rsid w:val="00FB24E8"/>
    <w:rsid w:val="00FB6DE5"/>
    <w:rsid w:val="00FC23CB"/>
    <w:rsid w:val="00FC3D6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sq-AL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sq-AL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m.coe.int/16800cce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Abbas Lotia</cp:lastModifiedBy>
  <cp:revision>3</cp:revision>
  <dcterms:created xsi:type="dcterms:W3CDTF">2020-10-14T12:57:00Z</dcterms:created>
  <dcterms:modified xsi:type="dcterms:W3CDTF">2020-10-14T13:02:00Z</dcterms:modified>
</cp:coreProperties>
</file>